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Коммерческий директор</w:t>
      </w:r>
    </w:p>
    <w:p>
      <w:r>
        <w:rPr>
          <w:i/>
        </w:rPr>
        <w:t>Дата утверждения: 15.01.2025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01.02.2025</w:t>
      </w:r>
    </w:p>
    <w:p>
      <w:r>
        <w:rPr>
          <w:i/>
        </w:rPr>
        <w:t>Документ заменён: SALES-SROKI-2026</w:t>
      </w:r>
    </w:p>
    <w:p>
      <w:pPr>
        <w:pStyle w:val="Title"/>
      </w:pPr>
      <w:r>
        <w:t>Сроки изготовления по группам продукции на 2025 год</w:t>
      </w:r>
    </w:p>
    <w:p>
      <w:pPr>
        <w:pStyle w:val="Heading2"/>
      </w:pPr>
      <w:r>
        <w:t>1. Назначение</w:t>
      </w:r>
    </w:p>
    <w:p>
      <w:r>
        <w:t>1.1. Настоящий документ устанавливает стандартные и ускоренные сроки изготовления продукции по группам номенклатуры на 2025 год и порядок отсчёта срока.</w:t>
      </w:r>
    </w:p>
    <w:p>
      <w:pPr>
        <w:pStyle w:val="Heading2"/>
      </w:pPr>
      <w:r>
        <w:t>2. Сроки изготовления по группам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Группа продукции</w:t>
            </w:r>
          </w:p>
        </w:tc>
        <w:tc>
          <w:tcPr>
            <w:tcW w:type="dxa" w:w="2160"/>
          </w:tcPr>
          <w:p>
            <w:r>
              <w:t>Стандартный срок, раб. дн.</w:t>
            </w:r>
          </w:p>
        </w:tc>
        <w:tc>
          <w:tcPr>
            <w:tcW w:type="dxa" w:w="2160"/>
          </w:tcPr>
          <w:p>
            <w:r>
              <w:t>Ускоренный срок, раб. дн.</w:t>
            </w:r>
          </w:p>
        </w:tc>
        <w:tc>
          <w:tcPr>
            <w:tcW w:type="dxa" w:w="2160"/>
          </w:tcPr>
          <w:p>
            <w:r>
              <w:t>Наценка за срочность</w:t>
            </w:r>
          </w:p>
        </w:tc>
      </w:tr>
      <w:tr>
        <w:tc>
          <w:tcPr>
            <w:tcW w:type="dxa" w:w="2160"/>
          </w:tcPr>
          <w:p>
            <w:r>
              <w:t>валы и оси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20 %</w:t>
            </w:r>
          </w:p>
        </w:tc>
      </w:tr>
      <w:tr>
        <w:tc>
          <w:tcPr>
            <w:tcW w:type="dxa" w:w="2160"/>
          </w:tcPr>
          <w:p>
            <w:r>
              <w:t>шестерни и колёса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25 %</w:t>
            </w:r>
          </w:p>
        </w:tc>
      </w:tr>
      <w:tr>
        <w:tc>
          <w:tcPr>
            <w:tcW w:type="dxa" w:w="2160"/>
          </w:tcPr>
          <w:p>
            <w:r>
              <w:t>корпусные детали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25 %</w:t>
            </w:r>
          </w:p>
        </w:tc>
      </w:tr>
      <w:tr>
        <w:tc>
          <w:tcPr>
            <w:tcW w:type="dxa" w:w="2160"/>
          </w:tcPr>
          <w:p>
            <w:r>
              <w:t>гидроцилиндры и детали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20 %</w:t>
            </w:r>
          </w:p>
        </w:tc>
      </w:tr>
      <w:tr>
        <w:tc>
          <w:tcPr>
            <w:tcW w:type="dxa" w:w="2160"/>
          </w:tcPr>
          <w:p>
            <w:r>
              <w:t>прочие детали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20 %</w:t>
            </w:r>
          </w:p>
        </w:tc>
      </w:tr>
      <w:tr>
        <w:tc>
          <w:tcPr>
            <w:tcW w:type="dxa" w:w="2160"/>
          </w:tcPr>
          <w:p>
            <w:r>
              <w:t>узлы в сборе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30 %</w:t>
            </w:r>
          </w:p>
        </w:tc>
      </w:tr>
    </w:tbl>
    <w:p>
      <w:r>
        <w:t>2.1. Сроки таблицы раздела 2 действовали с 01.02.2025 по 31.08.2026 и применялись при расчёте коммерческих предложений и спецификаций к договорам поставки.</w:t>
      </w:r>
    </w:p>
    <w:p>
      <w:pPr>
        <w:pStyle w:val="Heading2"/>
      </w:pPr>
      <w:r>
        <w:t>3. Порядок отсчёта срока</w:t>
      </w:r>
    </w:p>
    <w:p>
      <w:r>
        <w:t>3.1. Срок изготовления отсчитывался с даты поступления предоплаты, предусмотренной спецификацией к договору поставки.</w:t>
      </w:r>
    </w:p>
    <w:p>
      <w:r>
        <w:t>3.2. Если спецификацией предоплата не предусматривалась, срок изготовления отсчитывался с даты подписания сторонами спецификации.</w:t>
      </w:r>
    </w:p>
    <w:p>
      <w:pPr>
        <w:pStyle w:val="Heading2"/>
      </w:pPr>
      <w:r>
        <w:t>4. Действие документа</w:t>
      </w:r>
    </w:p>
    <w:p>
      <w:r>
        <w:t>4.1. Настоящий документ заменён документом SALES-SROKI-2026 «Сроки изготовления по группам продукции на 2026 год» с 01.09.2026 и сохраняется для расчёта сроков по спецификациям, подписанным до указанной даты.</w:t>
      </w:r>
    </w:p>
    <w:p>
      <w:r>
        <w:t>4.2. При поступлении заявки заказчика с ошибочной ссылкой на срок изготовления по настоящему документу менеджер по продажам обязан пересчитать срок по документу SALES-SROKI-2026 и уведомить заказчика об актуальных сроках до направления коммерческого предложения.</w:t>
      </w:r>
    </w:p>
    <w:p>
      <w:r>
        <w:t>4.3. Настоящий документ не применяется для расчёта коммерческих предложений и спецификаций, подготавливаемых после 01.09.2026.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