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Сроки изготовления по группам продукции на 2026 год</w:t>
      </w:r>
    </w:p>
    <w:p>
      <w:pPr>
        <w:pStyle w:val="Heading2"/>
      </w:pPr>
      <w:r>
        <w:t>1. Назначение</w:t>
      </w:r>
    </w:p>
    <w:p>
      <w:r>
        <w:t>1.1. Настоящий документ устанавливает стандартные и ускоренные сроки изготовления продукции по группам номенклатуры на 2026 год и порядок отсчёта срока.</w:t>
      </w:r>
    </w:p>
    <w:p>
      <w:pPr>
        <w:pStyle w:val="Heading2"/>
      </w:pPr>
      <w:r>
        <w:t>2. Сроки изготовления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Группа продукции</w:t>
            </w:r>
          </w:p>
        </w:tc>
        <w:tc>
          <w:tcPr>
            <w:tcW w:type="dxa" w:w="2160"/>
          </w:tcPr>
          <w:p>
            <w:r>
              <w:t>Стандартный срок, раб. дн.</w:t>
            </w:r>
          </w:p>
        </w:tc>
        <w:tc>
          <w:tcPr>
            <w:tcW w:type="dxa" w:w="2160"/>
          </w:tcPr>
          <w:p>
            <w:r>
              <w:t>Ускоренный срок, раб. дн.</w:t>
            </w:r>
          </w:p>
        </w:tc>
        <w:tc>
          <w:tcPr>
            <w:tcW w:type="dxa" w:w="2160"/>
          </w:tcPr>
          <w:p>
            <w:r>
              <w:t>Наценка за срочность</w:t>
            </w:r>
          </w:p>
        </w:tc>
      </w:tr>
      <w:tr>
        <w:tc>
          <w:tcPr>
            <w:tcW w:type="dxa" w:w="2160"/>
          </w:tcPr>
          <w:p>
            <w:r>
              <w:t>валы и оси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</w:tr>
      <w:tr>
        <w:tc>
          <w:tcPr>
            <w:tcW w:type="dxa" w:w="2160"/>
          </w:tcPr>
          <w:p>
            <w:r>
              <w:t>шестерни и колёса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25 %</w:t>
            </w:r>
          </w:p>
        </w:tc>
      </w:tr>
      <w:tr>
        <w:tc>
          <w:tcPr>
            <w:tcW w:type="dxa" w:w="2160"/>
          </w:tcPr>
          <w:p>
            <w:r>
              <w:t>корпусные детали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25 %</w:t>
            </w:r>
          </w:p>
        </w:tc>
      </w:tr>
      <w:tr>
        <w:tc>
          <w:tcPr>
            <w:tcW w:type="dxa" w:w="2160"/>
          </w:tcPr>
          <w:p>
            <w:r>
              <w:t>гидроцилиндры и детали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</w:tr>
      <w:tr>
        <w:tc>
          <w:tcPr>
            <w:tcW w:type="dxa" w:w="2160"/>
          </w:tcPr>
          <w:p>
            <w:r>
              <w:t>прочие детали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</w:tr>
      <w:tr>
        <w:tc>
          <w:tcPr>
            <w:tcW w:type="dxa" w:w="2160"/>
          </w:tcPr>
          <w:p>
            <w:r>
              <w:t>узлы в сборе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30 %</w:t>
            </w:r>
          </w:p>
        </w:tc>
      </w:tr>
    </w:tbl>
    <w:p>
      <w:r>
        <w:t>2.1. Сроки таблицы раздела 2 действуют с 01.09.2026 и применяются при расчёте коммерческих предложений и спецификаций к договорам поставки.</w:t>
      </w:r>
    </w:p>
    <w:p>
      <w:pPr>
        <w:pStyle w:val="Heading2"/>
      </w:pPr>
      <w:r>
        <w:t>3. Порядок отсчёта срока</w:t>
      </w:r>
    </w:p>
    <w:p>
      <w:r>
        <w:t>3.1. Срок изготовления отсчитывается с даты поступления предоплаты, предусмотренной спецификацией к договору поставки.</w:t>
      </w:r>
    </w:p>
    <w:p>
      <w:r>
        <w:t>3.2. Если спецификацией предоплата не предусмотрена, срок изготовления отсчитывается с даты подписания сторонами спецификации.</w:t>
      </w:r>
    </w:p>
    <w:p>
      <w:r>
        <w:t>3.3. Если спецификацией предусмотрена частичная предоплата, срок изготовления отсчитывается с даты поступления предоплаты в полном размере, установленном спецификацией.</w:t>
      </w:r>
    </w:p>
    <w:p>
      <w:pPr>
        <w:pStyle w:val="Heading2"/>
      </w:pPr>
      <w:r>
        <w:t>4. Ускоренное изготовление</w:t>
      </w:r>
    </w:p>
    <w:p>
      <w:r>
        <w:t>4.1. Ускоренный срок изготовления и наценка за срочность, установленные таблицей раздела 2, применяются по согласованию с производственно-диспетчерской службой в порядке, установленном регламентом SALES-REGL-ZAKAZ.</w:t>
      </w:r>
    </w:p>
    <w:p>
      <w:r>
        <w:t>4.2. Наценка за срочность начисляется на цену партии, рассчитанную с учётом скидки заказчика по регламенту SALES-REGL-SKIDKI.</w:t>
      </w:r>
    </w:p>
    <w:p>
      <w:r>
        <w:t>4.3. Ускоренное изготовление узла в сборе (группа «узлы в сборе») возможно только при подтверждённой готовности составных частей, входящих в узел, в сроки, не превышающие ускоренный срок узла.</w:t>
      </w:r>
    </w:p>
    <w:p>
      <w:pPr>
        <w:pStyle w:val="Heading2"/>
      </w:pPr>
      <w:r>
        <w:t>5. Оговорки по загрузке производства</w:t>
      </w:r>
    </w:p>
    <w:p>
      <w:r>
        <w:t>5.1. Срок изготовления, указанный в коммерческом предложении или спецификации, является предварительным до подтверждения производственно-диспетчерской службой фактической загрузки цехов.</w:t>
      </w:r>
    </w:p>
    <w:p>
      <w:r>
        <w:t>5.2. При отсутствии свободных производственных мощностей на дату заявки менеджер по продажам согласовывает с заказчиком ближайший возможный срок, отличный от стандартного срока таблицы раздела 2.</w:t>
      </w:r>
    </w:p>
    <w:p>
      <w:r>
        <w:t>5.3. Для крупнейших заказчиков с объёмом заказов, определяющих значительную долю загрузки цехов, приоритетность включения партии в производственный план устанавливается коммерческим директором совместно с начальником производства.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