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Финансовый директор</w:t>
      </w:r>
    </w:p>
    <w:p>
      <w:r>
        <w:rPr>
          <w:i/>
        </w:rPr>
        <w:t>Дата утверждения: 25.09.2026</w:t>
      </w:r>
    </w:p>
    <w:p>
      <w:r>
        <w:rPr>
          <w:i/>
        </w:rPr>
        <w:t>Вводится в действие с 25.09.2026</w:t>
      </w:r>
    </w:p>
    <w:p>
      <w:pPr>
        <w:pStyle w:val="Title"/>
      </w:pPr>
      <w:r>
        <w:t>Протокол разногласий к проекту договора поставки металлопродукции с ООО «ТехСнаб-Урал»</w:t>
      </w:r>
    </w:p>
    <w:p>
      <w:r>
        <w:t>Протокол разногласий к проекту договора поставки металлопродукции № ТСУ-2026/118, полученному от ООО «ТехСнаб-Урал» 23.09.2026 в редакции Поставщика от 22.09.2026.</w:t>
      </w:r>
    </w:p>
    <w:p>
      <w:r>
        <w:t>По этому договору предприятие выступает Покупателем, поэтому условия проекта сверялись с действующим договором поставки сортового проката ПП-2025/14 (ООО «Прикамье-Прокат») — тот же вид закупки, те же марки стали, — а не с типовой формой договора продажи. Составлен по итогам согласования по маршруту пункта 3.1 регламента FIN-REGL-DOGOVOR; согласующие возвращали проект инициатору с замечаниями в порядке пункта 3.2 того же регламента.</w:t>
      </w:r>
    </w:p>
    <w:p>
      <w:pPr>
        <w:pStyle w:val="Heading2"/>
      </w:pPr>
      <w:r>
        <w:t>1. Разногласия по существенным условиям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№</w:t>
            </w:r>
          </w:p>
        </w:tc>
        <w:tc>
          <w:tcPr>
            <w:tcW w:type="dxa" w:w="1440"/>
          </w:tcPr>
          <w:p>
            <w:r>
              <w:t>Пункт проекта</w:t>
            </w:r>
          </w:p>
        </w:tc>
        <w:tc>
          <w:tcPr>
            <w:tcW w:type="dxa" w:w="1440"/>
          </w:tcPr>
          <w:p>
            <w:r>
              <w:t>Редакция контрагента</w:t>
            </w:r>
          </w:p>
        </w:tc>
        <w:tc>
          <w:tcPr>
            <w:tcW w:type="dxa" w:w="1440"/>
          </w:tcPr>
          <w:p>
            <w:r>
              <w:t>Чем сверялись</w:t>
            </w:r>
          </w:p>
        </w:tc>
        <w:tc>
          <w:tcPr>
            <w:tcW w:type="dxa" w:w="1440"/>
          </w:tcPr>
          <w:p>
            <w:r>
              <w:t>Наша редакция</w:t>
            </w:r>
          </w:p>
        </w:tc>
        <w:tc>
          <w:tcPr>
            <w:tcW w:type="dxa" w:w="1440"/>
          </w:tcPr>
          <w:p>
            <w:r>
              <w:t>Квалификация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2.6</w:t>
            </w:r>
          </w:p>
        </w:tc>
        <w:tc>
          <w:tcPr>
            <w:tcW w:type="dxa" w:w="1440"/>
          </w:tcPr>
          <w:p>
            <w:r>
              <w:t>Поставщик вправе в одностороннем порядке пересматривать цены, уведомив за 5 календарных дней, и применять новые цены к ранее подписанным спецификациям без дополнительного соглашения</w:t>
            </w:r>
          </w:p>
        </w:tc>
        <w:tc>
          <w:tcPr>
            <w:tcW w:type="dxa" w:w="1440"/>
          </w:tcPr>
          <w:p>
            <w:r>
              <w:t>п. 3.5 ПП-2025/14: изменение зафиксированной цены в течение срока действия протокола согласования цены не допускается</w:t>
            </w:r>
          </w:p>
        </w:tc>
        <w:tc>
          <w:tcPr>
            <w:tcW w:type="dxa" w:w="1440"/>
          </w:tcPr>
          <w:p>
            <w:r>
              <w:t>Цена, зафиксированная спецификацией, изменяется только дополнительным соглашением Сторон</w:t>
            </w:r>
          </w:p>
        </w:tc>
        <w:tc>
          <w:tcPr>
            <w:tcW w:type="dxa" w:w="1440"/>
          </w:tcPr>
          <w:p>
            <w:r>
              <w:t>условие, которого в практике закупок предприятия нет; противоречит пункту 12.1 самого проекта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раздел 6</w:t>
            </w:r>
          </w:p>
        </w:tc>
        <w:tc>
          <w:tcPr>
            <w:tcW w:type="dxa" w:w="1440"/>
          </w:tcPr>
          <w:p>
            <w:r>
              <w:t>Неустойка предусмотрена только для Покупателя (п. 6.1); ответственность Поставщика за нарушение срока поставки в проекте отсутствует</w:t>
            </w:r>
          </w:p>
        </w:tc>
        <w:tc>
          <w:tcPr>
            <w:tcW w:type="dxa" w:w="1440"/>
          </w:tcPr>
          <w:p>
            <w:r>
              <w:t>п. 7.1 ПП-2025/14: 0,1 % от стоимости не поставленной в срок партии за каждый день, но не более 10 %</w:t>
            </w:r>
          </w:p>
        </w:tc>
        <w:tc>
          <w:tcPr>
            <w:tcW w:type="dxa" w:w="1440"/>
          </w:tcPr>
          <w:p>
            <w:r>
              <w:t>Неустойка Поставщика за просрочку поставки в редакции пункта 7.1 ПП-2025/14</w:t>
            </w:r>
          </w:p>
        </w:tc>
        <w:tc>
          <w:tcPr>
            <w:tcW w:type="dxa" w:w="1440"/>
          </w:tcPr>
          <w:p>
            <w:r>
              <w:t>нетиповое условие, п. 4.2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1440"/>
          </w:tcPr>
          <w:p>
            <w:r>
              <w:t>Риск случайной гибели переходит к Покупателю на складе Поставщика в момент передачи перевозчику</w:t>
            </w:r>
          </w:p>
        </w:tc>
        <w:tc>
          <w:tcPr>
            <w:tcW w:type="dxa" w:w="1440"/>
          </w:tcPr>
          <w:p>
            <w:r>
              <w:t>п. 1.5 ПП-2025/14: риск переходит на складе Покупателя в Коврове</w:t>
            </w:r>
          </w:p>
        </w:tc>
        <w:tc>
          <w:tcPr>
            <w:tcW w:type="dxa" w:w="1440"/>
          </w:tcPr>
          <w:p>
            <w:r>
              <w:t>Риск переходит в момент передачи продукции на складе Покупателя</w:t>
            </w:r>
          </w:p>
        </w:tc>
        <w:tc>
          <w:tcPr>
            <w:tcW w:type="dxa" w:w="1440"/>
          </w:tcPr>
          <w:p>
            <w:r>
              <w:t>нетиповое условие, п. 4.2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4.3</w:t>
            </w:r>
          </w:p>
        </w:tc>
        <w:tc>
          <w:tcPr>
            <w:tcW w:type="dxa" w:w="1440"/>
          </w:tcPr>
          <w:p>
            <w:r>
              <w:t>Приёмка по качеству — 10 рабочих дней с даты поставки</w:t>
            </w:r>
          </w:p>
        </w:tc>
        <w:tc>
          <w:tcPr>
            <w:tcW w:type="dxa" w:w="1440"/>
          </w:tcPr>
          <w:p>
            <w:r>
              <w:t>п. 5.4 ПП-2025/14: 30 календарных дней, включая скрытые несоответствия плавки</w:t>
            </w:r>
          </w:p>
        </w:tc>
        <w:tc>
          <w:tcPr>
            <w:tcW w:type="dxa" w:w="1440"/>
          </w:tcPr>
          <w:p>
            <w:r>
              <w:t>30 календарных дней с даты поставки; срок исчисляется с завершения входного контроля ОТК по регламенту ОТК-РЕГЛ-003</w:t>
            </w:r>
          </w:p>
        </w:tc>
        <w:tc>
          <w:tcPr>
            <w:tcW w:type="dxa" w:w="1440"/>
          </w:tcPr>
          <w:p>
            <w:r>
              <w:t>нетиповое условие, п. 4.2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2.3</w:t>
            </w:r>
          </w:p>
        </w:tc>
        <w:tc>
          <w:tcPr>
            <w:tcW w:type="dxa" w:w="1440"/>
          </w:tcPr>
          <w:p>
            <w:r>
              <w:t>Отсрочка платежа 90 календарных дней с даты поставки</w:t>
            </w:r>
          </w:p>
        </w:tc>
        <w:tc>
          <w:tcPr>
            <w:tcW w:type="dxa" w:w="1440"/>
          </w:tcPr>
          <w:p>
            <w:r>
              <w:t>п. 3.2 ПП-2025/14: отсрочка 20 календарных дней</w:t>
            </w:r>
          </w:p>
        </w:tc>
        <w:tc>
          <w:tcPr>
            <w:tcW w:type="dxa" w:w="1440"/>
          </w:tcPr>
          <w:p>
            <w:r>
              <w:t>принимается в редакции контрагента</w:t>
            </w:r>
          </w:p>
        </w:tc>
        <w:tc>
          <w:tcPr>
            <w:tcW w:type="dxa" w:w="1440"/>
          </w:tcPr>
          <w:p>
            <w:r>
              <w:t>отклонение от типовых условий в пользу предприятия, п. 4.2</w:t>
            </w:r>
          </w:p>
        </w:tc>
      </w:tr>
    </w:tbl>
    <w:p>
      <w:pPr>
        <w:pStyle w:val="Heading2"/>
      </w:pPr>
      <w:r>
        <w:t>2. Позиция предприятия</w:t>
      </w:r>
    </w:p>
    <w:p>
      <w:r>
        <w:t>2.1. Разногласие № 1 не принимается ни в какой редакции. Пункт 2.6 позволяет изменить цену после подписания спецификации и прямо противоречит пункту 12.1 того же проекта, по которому любые изменения договора действительны только в письменной форме, подписанной Сторонами. При таком условии плановая сумма договора и лимит бюджета ЦФО перестают быть определимыми на дату согласования.</w:t>
      </w:r>
    </w:p>
    <w:p>
      <w:r>
        <w:t>2.2. Разногласия № 2, № 3 и № 4 квалифицированы как отклонения от типовых условий закупки и согласованы финансовым директором в порядке пункта 4.2 регламента FIN-REGL-DOGOVOR при условии изложения в нашей редакции.</w:t>
      </w:r>
    </w:p>
    <w:p>
      <w:r>
        <w:t>2.3. Разногласие № 5 принимается. Отсрочка 90 календарных дней выгоднее действующих 20 дней по договору ПП-2025/14, но по пункту 4.2 регламента FIN-REGL-DOGOVOR изменение отсрочки платежа остаётся отклонением от типовых условий независимо от того, в чью пользу оно сделано, поэтому зафиксировано в протоколе и согласовано, а не принято молча.</w:t>
      </w:r>
    </w:p>
    <w:p>
      <w:r>
        <w:t>2.4. Закупка у поставщика, не прошедшего проверку должной осмотрительности, не допускается — пункт 4.2 регламента FIN-REGL-ZAKUPKI. Заключение по проверке ООО «ТехСнаб-Урал» — FIN-ZAKL-DOLZHOSM-TSU-2026.</w:t>
      </w:r>
    </w:p>
    <w:p>
      <w:r>
        <w:t>2.5. Плановая сумма договора по пункту 2.2 проекта — 6 200 000 ₽. Сумма превышает 5 000 000 ₽, поэтому договор подписывает генеральный директор в порядке пункта 5.2 регламента FIN-REGL-DOGOVOR.</w:t>
      </w:r>
    </w:p>
    <w:p>
      <w:r>
        <w:t>2.6. До получения ответа контрагента по разногласию № 1 договор к подписанию не передаётся.</w:t>
      </w:r>
    </w:p>
    <w:p>
      <w:pPr>
        <w:pStyle w:val="Heading2"/>
      </w:pPr>
      <w:r>
        <w:t>3. Подписи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Должность</w:t>
            </w:r>
          </w:p>
        </w:tc>
        <w:tc>
          <w:tcPr>
            <w:tcW w:type="dxa" w:w="2880"/>
          </w:tcPr>
          <w:p>
            <w:r>
              <w:t>Подпись</w:t>
            </w:r>
          </w:p>
        </w:tc>
        <w:tc>
          <w:tcPr>
            <w:tcW w:type="dxa" w:w="2880"/>
          </w:tcPr>
          <w:p>
            <w:r>
              <w:t>Дата</w:t>
            </w:r>
          </w:p>
        </w:tc>
      </w:tr>
      <w:tr>
        <w:tc>
          <w:tcPr>
            <w:tcW w:type="dxa" w:w="2880"/>
          </w:tcPr>
          <w:p>
            <w:r>
              <w:t>Юрисконсульт</w:t>
            </w:r>
          </w:p>
        </w:tc>
        <w:tc>
          <w:tcPr>
            <w:tcW w:type="dxa" w:w="2880"/>
          </w:tcPr>
          <w:p>
            <w:r>
              <w:t>Гущина Л. А.</w:t>
            </w:r>
          </w:p>
        </w:tc>
        <w:tc>
          <w:tcPr>
            <w:tcW w:type="dxa" w:w="2880"/>
          </w:tcPr>
          <w:p>
            <w:r>
              <w:t>24.09.2026</w:t>
            </w:r>
          </w:p>
        </w:tc>
      </w:tr>
      <w:tr>
        <w:tc>
          <w:tcPr>
            <w:tcW w:type="dxa" w:w="2880"/>
          </w:tcPr>
          <w:p>
            <w:r>
              <w:t>Главный бухгалтер</w:t>
            </w:r>
          </w:p>
        </w:tc>
        <w:tc>
          <w:tcPr>
            <w:tcW w:type="dxa" w:w="2880"/>
          </w:tcPr>
          <w:p>
            <w:r>
              <w:t>Лапшин Н. С.</w:t>
            </w:r>
          </w:p>
        </w:tc>
        <w:tc>
          <w:tcPr>
            <w:tcW w:type="dxa" w:w="2880"/>
          </w:tcPr>
          <w:p>
            <w:r>
              <w:t>24.09.2026</w:t>
            </w:r>
          </w:p>
        </w:tc>
      </w:tr>
      <w:tr>
        <w:tc>
          <w:tcPr>
            <w:tcW w:type="dxa" w:w="2880"/>
          </w:tcPr>
          <w:p>
            <w:r>
              <w:t>Финансовый директор</w:t>
            </w:r>
          </w:p>
        </w:tc>
        <w:tc>
          <w:tcPr>
            <w:tcW w:type="dxa" w:w="2880"/>
          </w:tcPr>
          <w:p>
            <w:r>
              <w:t>Ушакова И. Н.</w:t>
            </w:r>
          </w:p>
        </w:tc>
        <w:tc>
          <w:tcPr>
            <w:tcW w:type="dxa" w:w="2880"/>
          </w:tcPr>
          <w:p>
            <w:r>
              <w:t>25.09.2026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