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E8F" w:rsidRPr="00673E8F" w:rsidRDefault="00673E8F" w:rsidP="00673E8F">
      <w:pPr>
        <w:jc w:val="both"/>
        <w:rPr>
          <w:b/>
          <w:bCs/>
          <w:lang w:val="en-US"/>
        </w:rPr>
      </w:pPr>
      <w:r w:rsidRPr="00673E8F">
        <w:rPr>
          <w:b/>
          <w:bCs/>
          <w:lang w:val="en-US"/>
        </w:rPr>
        <w:t xml:space="preserve">Pharmacokinetic Distribution Profile of </w:t>
      </w:r>
      <w:r w:rsidRPr="00673E8F">
        <w:rPr>
          <w:b/>
          <w:bCs/>
          <w:i/>
          <w:iCs/>
          <w:lang w:val="en-US"/>
        </w:rPr>
        <w:t>Castela</w:t>
      </w:r>
      <w:r w:rsidRPr="00673E8F">
        <w:rPr>
          <w:b/>
          <w:bCs/>
          <w:lang w:val="en-US"/>
        </w:rPr>
        <w:t xml:space="preserve"> Quassinoids</w:t>
      </w:r>
    </w:p>
    <w:p w:rsidR="00673E8F" w:rsidRPr="00673E8F" w:rsidRDefault="00673E8F" w:rsidP="009B069F">
      <w:pPr>
        <w:spacing w:line="360" w:lineRule="auto"/>
        <w:ind w:firstLine="720"/>
        <w:jc w:val="both"/>
        <w:rPr>
          <w:lang w:val="en-US"/>
        </w:rPr>
      </w:pPr>
      <w:r w:rsidRPr="00673E8F">
        <w:rPr>
          <w:lang w:val="en-US"/>
        </w:rPr>
        <w:t>The distribution phase of the 24 identified quassinoids was characterized by evaluating the Volume of Distribution at steady state (</w:t>
      </w:r>
      <w:proofErr w:type="spellStart"/>
      <w:r w:rsidRPr="00A11ADF">
        <w:rPr>
          <w:i/>
          <w:lang w:val="en-US"/>
        </w:rPr>
        <w:t>V</w:t>
      </w:r>
      <w:r w:rsidRPr="00A11ADF">
        <w:rPr>
          <w:i/>
          <w:vertAlign w:val="subscript"/>
          <w:lang w:val="en-US"/>
        </w:rPr>
        <w:t>Dss</w:t>
      </w:r>
      <w:proofErr w:type="spellEnd"/>
      <w:r w:rsidRPr="00673E8F">
        <w:rPr>
          <w:lang w:val="en-US"/>
        </w:rPr>
        <w:t>), Plasma Protein Binding (PPB), and Blood-Brain Barrier (BBB) permeability. The library exhibited a moderate global distribution profile, with</w:t>
      </w:r>
      <w:r>
        <w:rPr>
          <w:lang w:val="en-US"/>
        </w:rPr>
        <w:t xml:space="preserve"> </w:t>
      </w:r>
      <w:proofErr w:type="spellStart"/>
      <w:r w:rsidRPr="00A11ADF">
        <w:rPr>
          <w:i/>
          <w:lang w:val="en-US"/>
        </w:rPr>
        <w:t>V</w:t>
      </w:r>
      <w:r w:rsidRPr="00A11ADF">
        <w:rPr>
          <w:i/>
          <w:vertAlign w:val="subscript"/>
          <w:lang w:val="en-US"/>
        </w:rPr>
        <w:t>Dss</w:t>
      </w:r>
      <w:proofErr w:type="spellEnd"/>
      <w:r w:rsidRPr="00673E8F">
        <w:rPr>
          <w:lang w:val="en-US"/>
        </w:rPr>
        <w:t xml:space="preserve"> values clustering around a mean of </w:t>
      </w:r>
      <w:r w:rsidRPr="00673E8F">
        <w:rPr>
          <w:b/>
          <w:bCs/>
          <w:lang w:val="en-US"/>
        </w:rPr>
        <w:t>0.53 L/kg</w:t>
      </w:r>
      <w:r w:rsidRPr="00673E8F">
        <w:rPr>
          <w:lang w:val="en-US"/>
        </w:rPr>
        <w:t>. While the majority of the compounds showed limited tissue sequestration, a notable outlier (Compound 5) displayed a significantly higher</w:t>
      </w:r>
      <w:r>
        <w:rPr>
          <w:lang w:val="en-US"/>
        </w:rPr>
        <w:t xml:space="preserve"> </w:t>
      </w:r>
      <w:proofErr w:type="spellStart"/>
      <w:r w:rsidRPr="00A11ADF">
        <w:rPr>
          <w:i/>
          <w:lang w:val="en-US"/>
        </w:rPr>
        <w:t>V</w:t>
      </w:r>
      <w:r w:rsidRPr="00A11ADF">
        <w:rPr>
          <w:i/>
          <w:vertAlign w:val="subscript"/>
          <w:lang w:val="en-US"/>
        </w:rPr>
        <w:t>Dss</w:t>
      </w:r>
      <w:proofErr w:type="spellEnd"/>
      <w:r>
        <w:rPr>
          <w:vertAlign w:val="subscript"/>
          <w:lang w:val="en-US"/>
        </w:rPr>
        <w:t xml:space="preserve"> </w:t>
      </w:r>
      <w:r w:rsidRPr="00673E8F">
        <w:rPr>
          <w:lang w:val="en-US"/>
        </w:rPr>
        <w:t xml:space="preserve">of </w:t>
      </w:r>
      <w:r w:rsidRPr="00673E8F">
        <w:rPr>
          <w:b/>
          <w:bCs/>
          <w:lang w:val="en-US"/>
        </w:rPr>
        <w:t>1.28 L/kg</w:t>
      </w:r>
      <w:r w:rsidRPr="00673E8F">
        <w:rPr>
          <w:lang w:val="en-US"/>
        </w:rPr>
        <w:t>, suggesting extensive extravascular distribution.</w:t>
      </w:r>
    </w:p>
    <w:p w:rsidR="00673E8F" w:rsidRPr="00141B3A" w:rsidRDefault="009B069F" w:rsidP="009B069F">
      <w:pPr>
        <w:spacing w:line="360" w:lineRule="auto"/>
        <w:ind w:firstLine="720"/>
        <w:jc w:val="both"/>
        <w:rPr>
          <w:lang w:val="en-US"/>
        </w:rPr>
      </w:pPr>
      <w:r w:rsidRPr="00141B3A">
        <w:rPr>
          <w:noProof/>
          <w:lang w:eastAsia="es-MX"/>
        </w:rPr>
        <w:drawing>
          <wp:anchor distT="0" distB="0" distL="114300" distR="114300" simplePos="0" relativeHeight="251658240" behindDoc="0" locked="0" layoutInCell="1" allowOverlap="1" wp14:anchorId="79904C52" wp14:editId="2FCCDAC1">
            <wp:simplePos x="0" y="0"/>
            <wp:positionH relativeFrom="margin">
              <wp:align>center</wp:align>
            </wp:positionH>
            <wp:positionV relativeFrom="margin">
              <wp:posOffset>4010660</wp:posOffset>
            </wp:positionV>
            <wp:extent cx="5612400" cy="1713600"/>
            <wp:effectExtent l="0" t="0" r="7620" b="127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_PK_distribution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400" cy="1713600"/>
                    </a:xfrm>
                    <a:prstGeom prst="rect">
                      <a:avLst/>
                    </a:prstGeom>
                  </pic:spPr>
                </pic:pic>
              </a:graphicData>
            </a:graphic>
            <wp14:sizeRelH relativeFrom="page">
              <wp14:pctWidth>0</wp14:pctWidth>
            </wp14:sizeRelH>
            <wp14:sizeRelV relativeFrom="page">
              <wp14:pctHeight>0</wp14:pctHeight>
            </wp14:sizeRelV>
          </wp:anchor>
        </w:drawing>
      </w:r>
      <w:r w:rsidR="00673E8F" w:rsidRPr="00141B3A">
        <w:rPr>
          <w:lang w:val="en-US"/>
        </w:rPr>
        <w:t xml:space="preserve">Analysis of plasma binding revealed a favorable profile for systemic bioavailability, with a mean </w:t>
      </w:r>
      <w:r w:rsidR="00673E8F" w:rsidRPr="00141B3A">
        <w:rPr>
          <w:bCs/>
          <w:lang w:val="en-US"/>
        </w:rPr>
        <w:t>Fraction Unbound (</w:t>
      </w:r>
      <w:proofErr w:type="spellStart"/>
      <w:r w:rsidR="00673E8F" w:rsidRPr="00141B3A">
        <w:rPr>
          <w:bCs/>
          <w:i/>
          <w:lang w:val="en-US"/>
        </w:rPr>
        <w:t>f</w:t>
      </w:r>
      <w:r w:rsidR="00673E8F" w:rsidRPr="00141B3A">
        <w:rPr>
          <w:bCs/>
          <w:i/>
          <w:vertAlign w:val="subscript"/>
          <w:lang w:val="en-US"/>
        </w:rPr>
        <w:t>u</w:t>
      </w:r>
      <w:proofErr w:type="spellEnd"/>
      <w:r w:rsidR="00673E8F" w:rsidRPr="00141B3A">
        <w:rPr>
          <w:bCs/>
          <w:lang w:val="en-US"/>
        </w:rPr>
        <w:t>)</w:t>
      </w:r>
      <w:r w:rsidR="00673E8F" w:rsidRPr="00141B3A">
        <w:rPr>
          <w:lang w:val="en-US"/>
        </w:rPr>
        <w:t xml:space="preserve"> of approximately </w:t>
      </w:r>
      <w:r w:rsidR="00673E8F" w:rsidRPr="00141B3A">
        <w:rPr>
          <w:bCs/>
          <w:lang w:val="en-US"/>
        </w:rPr>
        <w:t>58%</w:t>
      </w:r>
      <w:r w:rsidR="00673E8F" w:rsidRPr="00141B3A">
        <w:rPr>
          <w:lang w:val="en-US"/>
        </w:rPr>
        <w:t xml:space="preserve">. This relatively high proportion of free drug in the systemic circulation is inversely correlated with the observed PPB percentages, which averaged </w:t>
      </w:r>
      <w:r w:rsidR="00673E8F" w:rsidRPr="00141B3A">
        <w:rPr>
          <w:bCs/>
          <w:lang w:val="en-US"/>
        </w:rPr>
        <w:t>42.4%</w:t>
      </w:r>
      <w:r w:rsidR="00673E8F" w:rsidRPr="00141B3A">
        <w:rPr>
          <w:lang w:val="en-US"/>
        </w:rPr>
        <w:t xml:space="preserve">. Furthermore, the </w:t>
      </w:r>
      <w:r w:rsidR="00673E8F" w:rsidRPr="00141B3A">
        <w:rPr>
          <w:i/>
          <w:lang w:val="en-US"/>
        </w:rPr>
        <w:t>log</w:t>
      </w:r>
      <w:r w:rsidR="00673E8F" w:rsidRPr="00141B3A">
        <w:rPr>
          <w:vertAlign w:val="subscript"/>
          <w:lang w:val="en-US"/>
        </w:rPr>
        <w:t>10</w:t>
      </w:r>
      <w:r w:rsidR="00673E8F" w:rsidRPr="00141B3A">
        <w:rPr>
          <w:lang w:val="en-US"/>
        </w:rPr>
        <w:t xml:space="preserve"> transformed BBB penetration data indicated that the library possesses generally low central nervous system (CNS) exposure, centered at a value of </w:t>
      </w:r>
      <w:r w:rsidR="00673E8F" w:rsidRPr="00141B3A">
        <w:rPr>
          <w:bCs/>
          <w:lang w:val="en-US"/>
        </w:rPr>
        <w:t>-2.8</w:t>
      </w:r>
      <w:r w:rsidR="00673E8F" w:rsidRPr="00141B3A">
        <w:rPr>
          <w:lang w:val="en-US"/>
        </w:rPr>
        <w:t xml:space="preserve">, although a distinct sub-population exhibited higher permeability gradients. These combined metrics suggest that </w:t>
      </w:r>
      <w:r w:rsidR="00673E8F" w:rsidRPr="00141B3A">
        <w:rPr>
          <w:i/>
          <w:iCs/>
          <w:lang w:val="en-US"/>
        </w:rPr>
        <w:t>Castela</w:t>
      </w:r>
      <w:r w:rsidR="00673E8F" w:rsidRPr="00141B3A">
        <w:rPr>
          <w:lang w:val="en-US"/>
        </w:rPr>
        <w:t xml:space="preserve"> quassinoids are primarily distributed within the plasma and extracellular fluid with minimal CNS liability, supporting their potential as systemic therapeutic leads.</w:t>
      </w:r>
      <w:bookmarkStart w:id="0" w:name="_GoBack"/>
      <w:bookmarkEnd w:id="0"/>
    </w:p>
    <w:p w:rsidR="00673E8F" w:rsidRPr="0024797F" w:rsidRDefault="0024797F" w:rsidP="0024797F">
      <w:pPr>
        <w:jc w:val="center"/>
        <w:rPr>
          <w:sz w:val="20"/>
          <w:lang w:val="en-US"/>
        </w:rPr>
      </w:pPr>
      <w:r w:rsidRPr="0024797F">
        <w:rPr>
          <w:sz w:val="20"/>
          <w:lang w:val="en-US"/>
        </w:rPr>
        <w:t>Figure 1. Distribution of key pharmacokinetic endpoints for the 24 quassinoids.</w:t>
      </w:r>
    </w:p>
    <w:p w:rsidR="0024797F" w:rsidRDefault="0024797F" w:rsidP="00673E8F">
      <w:pPr>
        <w:jc w:val="both"/>
        <w:rPr>
          <w:b/>
          <w:bCs/>
          <w:lang w:val="en-US"/>
        </w:rPr>
      </w:pPr>
    </w:p>
    <w:p w:rsidR="00673E8F" w:rsidRPr="00673E8F" w:rsidRDefault="00673E8F" w:rsidP="00673E8F">
      <w:pPr>
        <w:jc w:val="both"/>
        <w:rPr>
          <w:b/>
          <w:bCs/>
          <w:lang w:val="en-US"/>
        </w:rPr>
      </w:pPr>
      <w:r w:rsidRPr="00673E8F">
        <w:rPr>
          <w:b/>
          <w:bCs/>
          <w:lang w:val="en-US"/>
        </w:rPr>
        <w:t>Inter-variable Correlation and Mechanistic Interdependence</w:t>
      </w:r>
    </w:p>
    <w:p w:rsidR="00673E8F" w:rsidRPr="0024797F" w:rsidRDefault="00673E8F" w:rsidP="00673E8F">
      <w:pPr>
        <w:spacing w:line="360" w:lineRule="auto"/>
        <w:ind w:firstLine="720"/>
        <w:jc w:val="both"/>
        <w:rPr>
          <w:lang w:val="en-US"/>
        </w:rPr>
      </w:pPr>
      <w:r w:rsidRPr="0024797F">
        <w:rPr>
          <w:lang w:val="en-US"/>
        </w:rPr>
        <w:t xml:space="preserve">To elucidate the relationships between the predicted ADMET parameters, a hierarchical clustered </w:t>
      </w:r>
      <w:proofErr w:type="spellStart"/>
      <w:r w:rsidRPr="0024797F">
        <w:rPr>
          <w:lang w:val="en-US"/>
        </w:rPr>
        <w:t>heatmap</w:t>
      </w:r>
      <w:proofErr w:type="spellEnd"/>
      <w:r w:rsidRPr="0024797F">
        <w:rPr>
          <w:lang w:val="en-US"/>
        </w:rPr>
        <w:t xml:space="preserve"> was generated (Figure 2). A profound negative correlation (</w:t>
      </w:r>
      <w:r w:rsidRPr="0024797F">
        <w:rPr>
          <w:i/>
          <w:lang w:val="en-US"/>
        </w:rPr>
        <w:t>r</w:t>
      </w:r>
      <w:r w:rsidRPr="0024797F">
        <w:rPr>
          <w:lang w:val="en-US"/>
        </w:rPr>
        <w:t xml:space="preserve"> = -0.98$) was observed between </w:t>
      </w:r>
      <w:r w:rsidRPr="0024797F">
        <w:rPr>
          <w:bCs/>
          <w:lang w:val="en-US"/>
        </w:rPr>
        <w:t>Plasma Protein Binding (PPB)</w:t>
      </w:r>
      <w:r w:rsidRPr="0024797F">
        <w:rPr>
          <w:lang w:val="en-US"/>
        </w:rPr>
        <w:t xml:space="preserve"> and the </w:t>
      </w:r>
      <w:r w:rsidRPr="0024797F">
        <w:rPr>
          <w:bCs/>
          <w:lang w:val="en-US"/>
        </w:rPr>
        <w:t>Fraction Unbound (</w:t>
      </w:r>
      <w:proofErr w:type="spellStart"/>
      <w:r w:rsidR="009B069F" w:rsidRPr="0024797F">
        <w:rPr>
          <w:bCs/>
          <w:i/>
          <w:lang w:val="en-US"/>
        </w:rPr>
        <w:t>fu</w:t>
      </w:r>
      <w:proofErr w:type="spellEnd"/>
      <w:r w:rsidRPr="0024797F">
        <w:rPr>
          <w:bCs/>
          <w:lang w:val="en-US"/>
        </w:rPr>
        <w:t>)</w:t>
      </w:r>
      <w:r w:rsidRPr="0024797F">
        <w:rPr>
          <w:lang w:val="en-US"/>
        </w:rPr>
        <w:t xml:space="preserve">, confirming the internal consistency of the </w:t>
      </w:r>
      <w:r w:rsidRPr="0024797F">
        <w:rPr>
          <w:i/>
          <w:iCs/>
          <w:lang w:val="en-US"/>
        </w:rPr>
        <w:t>in silico</w:t>
      </w:r>
      <w:r w:rsidRPr="0024797F">
        <w:rPr>
          <w:lang w:val="en-US"/>
        </w:rPr>
        <w:t xml:space="preserve"> model across the </w:t>
      </w:r>
      <w:r w:rsidRPr="0024797F">
        <w:rPr>
          <w:i/>
          <w:iCs/>
          <w:lang w:val="en-US"/>
        </w:rPr>
        <w:t>Castela</w:t>
      </w:r>
      <w:r w:rsidRPr="0024797F">
        <w:rPr>
          <w:lang w:val="en-US"/>
        </w:rPr>
        <w:t xml:space="preserve"> library. Notably, a strong positive correlation cluster emerged between the inhibition of </w:t>
      </w:r>
      <w:r w:rsidRPr="0024797F">
        <w:rPr>
          <w:bCs/>
          <w:lang w:val="en-US"/>
        </w:rPr>
        <w:t>BCRP</w:t>
      </w:r>
      <w:r w:rsidRPr="0024797F">
        <w:rPr>
          <w:lang w:val="en-US"/>
        </w:rPr>
        <w:t xml:space="preserve"> and </w:t>
      </w:r>
      <w:r w:rsidRPr="0024797F">
        <w:rPr>
          <w:bCs/>
          <w:lang w:val="en-US"/>
        </w:rPr>
        <w:t>OATP1B3</w:t>
      </w:r>
      <w:r w:rsidRPr="0024797F">
        <w:rPr>
          <w:lang w:val="en-US"/>
        </w:rPr>
        <w:t xml:space="preserve"> (</w:t>
      </w:r>
      <w:r w:rsidRPr="0024797F">
        <w:rPr>
          <w:i/>
          <w:lang w:val="en-US"/>
        </w:rPr>
        <w:t>r</w:t>
      </w:r>
      <w:r w:rsidRPr="0024797F">
        <w:rPr>
          <w:lang w:val="en-US"/>
        </w:rPr>
        <w:t xml:space="preserve"> = 0.84$), suggesting that </w:t>
      </w:r>
      <w:proofErr w:type="spellStart"/>
      <w:r w:rsidRPr="0024797F">
        <w:rPr>
          <w:lang w:val="en-US"/>
        </w:rPr>
        <w:t>quassinoid</w:t>
      </w:r>
      <w:proofErr w:type="spellEnd"/>
      <w:r w:rsidRPr="0024797F">
        <w:rPr>
          <w:lang w:val="en-US"/>
        </w:rPr>
        <w:t xml:space="preserve"> scaffolds within this genus may act as multi-specific ligands for hepatic uptake and efflux transporters.</w:t>
      </w:r>
    </w:p>
    <w:p w:rsidR="00673E8F" w:rsidRPr="0024797F" w:rsidRDefault="000E595B" w:rsidP="00673E8F">
      <w:pPr>
        <w:spacing w:line="360" w:lineRule="auto"/>
        <w:ind w:firstLine="720"/>
        <w:jc w:val="both"/>
        <w:rPr>
          <w:lang w:val="en-US"/>
        </w:rPr>
      </w:pPr>
      <w:r>
        <w:rPr>
          <w:noProof/>
          <w:lang w:eastAsia="es-MX"/>
        </w:rPr>
        <w:lastRenderedPageBreak/>
        <w:drawing>
          <wp:anchor distT="0" distB="0" distL="114300" distR="114300" simplePos="0" relativeHeight="251662336" behindDoc="0" locked="0" layoutInCell="1" allowOverlap="1" wp14:anchorId="3EB9615C" wp14:editId="68D8DB8A">
            <wp:simplePos x="0" y="0"/>
            <wp:positionH relativeFrom="margin">
              <wp:align>center</wp:align>
            </wp:positionH>
            <wp:positionV relativeFrom="margin">
              <wp:posOffset>1347470</wp:posOffset>
            </wp:positionV>
            <wp:extent cx="5106111" cy="5220000"/>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_ADMET_correlation_heatmap.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06111" cy="5220000"/>
                    </a:xfrm>
                    <a:prstGeom prst="rect">
                      <a:avLst/>
                    </a:prstGeom>
                  </pic:spPr>
                </pic:pic>
              </a:graphicData>
            </a:graphic>
            <wp14:sizeRelH relativeFrom="page">
              <wp14:pctWidth>0</wp14:pctWidth>
            </wp14:sizeRelH>
            <wp14:sizeRelV relativeFrom="page">
              <wp14:pctHeight>0</wp14:pctHeight>
            </wp14:sizeRelV>
          </wp:anchor>
        </w:drawing>
      </w:r>
      <w:r w:rsidR="00673E8F" w:rsidRPr="0024797F">
        <w:rPr>
          <w:lang w:val="en-US"/>
        </w:rPr>
        <w:t xml:space="preserve">Furthermore, </w:t>
      </w:r>
      <w:r w:rsidR="00673E8F" w:rsidRPr="0024797F">
        <w:rPr>
          <w:bCs/>
          <w:lang w:val="en-US"/>
        </w:rPr>
        <w:t>BSEP inhibition</w:t>
      </w:r>
      <w:r w:rsidR="00673E8F" w:rsidRPr="0024797F">
        <w:rPr>
          <w:lang w:val="en-US"/>
        </w:rPr>
        <w:t xml:space="preserve"> showed a moderate correlation with </w:t>
      </w:r>
      <w:proofErr w:type="spellStart"/>
      <w:r w:rsidR="00673E8F" w:rsidRPr="0024797F">
        <w:rPr>
          <w:bCs/>
          <w:i/>
          <w:lang w:val="en-US"/>
        </w:rPr>
        <w:t>V</w:t>
      </w:r>
      <w:r w:rsidR="00673E8F" w:rsidRPr="0024797F">
        <w:rPr>
          <w:bCs/>
          <w:i/>
          <w:vertAlign w:val="subscript"/>
          <w:lang w:val="en-US"/>
        </w:rPr>
        <w:t>Dss</w:t>
      </w:r>
      <w:proofErr w:type="spellEnd"/>
      <w:r w:rsidR="00673E8F" w:rsidRPr="0024797F">
        <w:rPr>
          <w:lang w:val="en-US"/>
        </w:rPr>
        <w:t xml:space="preserve"> (</w:t>
      </w:r>
      <w:r w:rsidR="00673E8F" w:rsidRPr="0024797F">
        <w:rPr>
          <w:i/>
          <w:lang w:val="en-US"/>
        </w:rPr>
        <w:t>r</w:t>
      </w:r>
      <w:r w:rsidR="00673E8F" w:rsidRPr="0024797F">
        <w:rPr>
          <w:lang w:val="en-US"/>
        </w:rPr>
        <w:t xml:space="preserve"> = 0.61$), indicating that compounds with higher tissue distribution might also present a higher risk for </w:t>
      </w:r>
      <w:proofErr w:type="spellStart"/>
      <w:r w:rsidR="00673E8F" w:rsidRPr="0024797F">
        <w:rPr>
          <w:lang w:val="en-US"/>
        </w:rPr>
        <w:t>cholestatic</w:t>
      </w:r>
      <w:proofErr w:type="spellEnd"/>
      <w:r w:rsidR="00673E8F" w:rsidRPr="0024797F">
        <w:rPr>
          <w:lang w:val="en-US"/>
        </w:rPr>
        <w:t xml:space="preserve"> liability. Conversely, </w:t>
      </w:r>
      <w:r w:rsidR="00673E8F" w:rsidRPr="0024797F">
        <w:rPr>
          <w:bCs/>
          <w:lang w:val="en-US"/>
        </w:rPr>
        <w:t>BBB penetration</w:t>
      </w:r>
      <w:r w:rsidR="00673E8F" w:rsidRPr="0024797F">
        <w:rPr>
          <w:lang w:val="en-US"/>
        </w:rPr>
        <w:t xml:space="preserve"> showed negligible correlation with global distribution markers </w:t>
      </w:r>
      <w:proofErr w:type="spellStart"/>
      <w:r w:rsidR="0024797F" w:rsidRPr="0024797F">
        <w:rPr>
          <w:bCs/>
          <w:i/>
          <w:lang w:val="en-US"/>
        </w:rPr>
        <w:t>V</w:t>
      </w:r>
      <w:r w:rsidR="0024797F" w:rsidRPr="0024797F">
        <w:rPr>
          <w:bCs/>
          <w:i/>
          <w:vertAlign w:val="subscript"/>
          <w:lang w:val="en-US"/>
        </w:rPr>
        <w:t>Dss</w:t>
      </w:r>
      <w:proofErr w:type="spellEnd"/>
      <w:r w:rsidR="0024797F" w:rsidRPr="0024797F">
        <w:rPr>
          <w:lang w:val="en-US"/>
        </w:rPr>
        <w:t xml:space="preserve"> </w:t>
      </w:r>
      <w:r w:rsidR="00673E8F" w:rsidRPr="0024797F">
        <w:rPr>
          <w:lang w:val="en-US"/>
        </w:rPr>
        <w:t xml:space="preserve">and </w:t>
      </w:r>
      <w:proofErr w:type="spellStart"/>
      <w:r w:rsidR="0024797F" w:rsidRPr="0024797F">
        <w:rPr>
          <w:bCs/>
          <w:i/>
          <w:lang w:val="en-US"/>
        </w:rPr>
        <w:t>fu</w:t>
      </w:r>
      <w:proofErr w:type="spellEnd"/>
      <w:r w:rsidR="0024797F" w:rsidRPr="0024797F">
        <w:rPr>
          <w:lang w:val="en-US"/>
        </w:rPr>
        <w:t xml:space="preserve"> </w:t>
      </w:r>
      <w:r w:rsidR="00673E8F" w:rsidRPr="0024797F">
        <w:rPr>
          <w:lang w:val="en-US"/>
        </w:rPr>
        <w:t xml:space="preserve">implying that the ability of these quassinoids to cross the blood-brain barrier is likely governed by specific structural features or molecular weight rather than non-specific </w:t>
      </w:r>
      <w:proofErr w:type="spellStart"/>
      <w:r w:rsidR="00673E8F" w:rsidRPr="0024797F">
        <w:rPr>
          <w:lang w:val="en-US"/>
        </w:rPr>
        <w:t>lipophilicity</w:t>
      </w:r>
      <w:proofErr w:type="spellEnd"/>
      <w:r w:rsidR="00673E8F" w:rsidRPr="0024797F">
        <w:rPr>
          <w:lang w:val="en-US"/>
        </w:rPr>
        <w:t>.</w:t>
      </w:r>
    </w:p>
    <w:p w:rsidR="00673E8F" w:rsidRPr="000E595B" w:rsidRDefault="000E595B" w:rsidP="000E595B">
      <w:pPr>
        <w:jc w:val="both"/>
        <w:rPr>
          <w:sz w:val="20"/>
          <w:lang w:val="en-US"/>
        </w:rPr>
      </w:pPr>
      <w:r w:rsidRPr="000E595B">
        <w:rPr>
          <w:sz w:val="20"/>
          <w:lang w:val="en-US"/>
        </w:rPr>
        <w:t xml:space="preserve">Figure 2. Correlation Analysis of Distribution and Transporter Properties for Quassinoids. The </w:t>
      </w:r>
      <w:proofErr w:type="spellStart"/>
      <w:r w:rsidRPr="000E595B">
        <w:rPr>
          <w:sz w:val="20"/>
          <w:lang w:val="en-US"/>
        </w:rPr>
        <w:t>heatmap</w:t>
      </w:r>
      <w:proofErr w:type="spellEnd"/>
      <w:r w:rsidRPr="000E595B">
        <w:rPr>
          <w:sz w:val="20"/>
          <w:lang w:val="en-US"/>
        </w:rPr>
        <w:t xml:space="preserve"> displays Spearman correlation coefficients between predicted ADMET parameters for the 24 Castela quassinoids. The color scale ranges from blue (strong negative correlation) to red (strong positive correlation). Hierarchical clustering on both axes identifies functional groupings, highlighting the inverse relationship between PPB and $</w:t>
      </w:r>
      <w:proofErr w:type="spellStart"/>
      <w:r w:rsidRPr="000E595B">
        <w:rPr>
          <w:sz w:val="20"/>
          <w:lang w:val="en-US"/>
        </w:rPr>
        <w:t>f_u</w:t>
      </w:r>
      <w:proofErr w:type="spellEnd"/>
      <w:r w:rsidRPr="000E595B">
        <w:rPr>
          <w:sz w:val="20"/>
          <w:lang w:val="en-US"/>
        </w:rPr>
        <w:t>$, and the co-inhibitory potential between BCRP and OATP1B3 transporters.</w:t>
      </w:r>
    </w:p>
    <w:p w:rsidR="00673E8F" w:rsidRDefault="00673E8F">
      <w:pPr>
        <w:rPr>
          <w:lang w:val="en-US"/>
        </w:rPr>
      </w:pPr>
    </w:p>
    <w:p w:rsidR="00673E8F" w:rsidRPr="00673E8F" w:rsidRDefault="00673E8F">
      <w:pPr>
        <w:rPr>
          <w:lang w:val="en-US"/>
        </w:rPr>
      </w:pPr>
    </w:p>
    <w:p w:rsidR="00CA18B2" w:rsidRDefault="00CA18B2">
      <w:pPr>
        <w:rPr>
          <w:lang w:val="en-US"/>
        </w:rPr>
      </w:pPr>
    </w:p>
    <w:p w:rsidR="000E595B" w:rsidRPr="001F11EF" w:rsidRDefault="000E595B" w:rsidP="000E595B">
      <w:pPr>
        <w:rPr>
          <w:b/>
          <w:bCs/>
          <w:lang w:val="en-US"/>
        </w:rPr>
      </w:pPr>
      <w:r w:rsidRPr="001F11EF">
        <w:rPr>
          <w:b/>
          <w:bCs/>
          <w:lang w:val="en-US"/>
        </w:rPr>
        <w:lastRenderedPageBreak/>
        <w:t>Multivariate Analysis of Distribution Properties</w:t>
      </w:r>
    </w:p>
    <w:p w:rsidR="000E595B" w:rsidRPr="001F11EF" w:rsidRDefault="000E595B" w:rsidP="00BC427E">
      <w:pPr>
        <w:spacing w:line="360" w:lineRule="auto"/>
        <w:ind w:firstLine="720"/>
        <w:jc w:val="both"/>
        <w:rPr>
          <w:lang w:val="en-US"/>
        </w:rPr>
      </w:pPr>
      <w:r w:rsidRPr="001F11EF">
        <w:rPr>
          <w:lang w:val="en-US"/>
        </w:rPr>
        <w:t xml:space="preserve">To further explore the interplay between tissue distribution and systemic binding, a multivariate analysis was performed by plotting the </w:t>
      </w:r>
      <w:r w:rsidRPr="001F11EF">
        <w:rPr>
          <w:bCs/>
          <w:lang w:val="en-US"/>
        </w:rPr>
        <w:t>Volume of Distribution at steady state (</w:t>
      </w:r>
      <w:proofErr w:type="spellStart"/>
      <w:r w:rsidRPr="001F11EF">
        <w:rPr>
          <w:bCs/>
          <w:i/>
          <w:lang w:val="en-US"/>
        </w:rPr>
        <w:t>V</w:t>
      </w:r>
      <w:r w:rsidRPr="001F11EF">
        <w:rPr>
          <w:bCs/>
          <w:i/>
          <w:vertAlign w:val="subscript"/>
          <w:lang w:val="en-US"/>
        </w:rPr>
        <w:t>Dss</w:t>
      </w:r>
      <w:proofErr w:type="spellEnd"/>
      <w:r w:rsidRPr="001F11EF">
        <w:rPr>
          <w:bCs/>
          <w:lang w:val="en-US"/>
        </w:rPr>
        <w:t>)</w:t>
      </w:r>
      <w:r w:rsidRPr="001F11EF">
        <w:rPr>
          <w:lang w:val="en-US"/>
        </w:rPr>
        <w:t xml:space="preserve"> against </w:t>
      </w:r>
      <w:r w:rsidRPr="001F11EF">
        <w:rPr>
          <w:bCs/>
          <w:lang w:val="en-US"/>
        </w:rPr>
        <w:t>Plasma Protein Binding (PPB) percentage</w:t>
      </w:r>
      <w:r w:rsidRPr="001F11EF">
        <w:rPr>
          <w:lang w:val="en-US"/>
        </w:rPr>
        <w:t xml:space="preserve">. The resulting scatter profile (Figure 3) revealed a lack of significant linear correlation between these two critical parameters, as evidenced by a </w:t>
      </w:r>
      <w:r w:rsidRPr="001F11EF">
        <w:rPr>
          <w:bCs/>
          <w:lang w:val="en-US"/>
        </w:rPr>
        <w:t xml:space="preserve">Spearman rank correlation coefficient of </w:t>
      </w:r>
      <w:r w:rsidR="00BC427E" w:rsidRPr="001F11EF">
        <w:rPr>
          <w:bCs/>
          <w:lang w:val="en-US"/>
        </w:rPr>
        <w:t xml:space="preserve">0.13 </w:t>
      </w:r>
      <w:r w:rsidR="00BC427E">
        <w:rPr>
          <w:bCs/>
          <w:lang w:val="en-US"/>
        </w:rPr>
        <w:t>(</w:t>
      </w:r>
      <w:r w:rsidRPr="001F11EF">
        <w:rPr>
          <w:bCs/>
          <w:i/>
          <w:lang w:val="en-US"/>
        </w:rPr>
        <w:t>p</w:t>
      </w:r>
      <w:r w:rsidR="00A11ADF">
        <w:rPr>
          <w:bCs/>
          <w:lang w:val="en-US"/>
        </w:rPr>
        <w:t xml:space="preserve"> = 0.55</w:t>
      </w:r>
      <w:r w:rsidRPr="001F11EF">
        <w:rPr>
          <w:bCs/>
          <w:lang w:val="en-US"/>
        </w:rPr>
        <w:t>)</w:t>
      </w:r>
      <w:r w:rsidRPr="001F11EF">
        <w:rPr>
          <w:lang w:val="en-US"/>
        </w:rPr>
        <w:t>. This statistical independence suggests that for this specific library of 24 quassinoids, tissue sequestration is not primarily governed by the degree of protein binding in the plasma, but likely by specific structural affinities or active transport mechanisms.</w:t>
      </w:r>
    </w:p>
    <w:p w:rsidR="001F11EF" w:rsidRPr="00BC427E" w:rsidRDefault="001F11EF" w:rsidP="00BC427E">
      <w:pPr>
        <w:pStyle w:val="NormalWeb"/>
        <w:jc w:val="both"/>
        <w:rPr>
          <w:rFonts w:asciiTheme="minorHAnsi" w:hAnsiTheme="minorHAnsi" w:cstheme="minorHAnsi"/>
          <w:sz w:val="22"/>
          <w:lang w:val="en-US"/>
        </w:rPr>
      </w:pPr>
      <w:r w:rsidRPr="00BC427E">
        <w:rPr>
          <w:rFonts w:asciiTheme="minorHAnsi" w:hAnsiTheme="minorHAnsi" w:cstheme="minorHAnsi"/>
          <w:sz w:val="22"/>
          <w:lang w:val="en-US"/>
        </w:rPr>
        <w:t>The distribution profile reveals four distinct pharmacokinetic clusters:</w:t>
      </w:r>
    </w:p>
    <w:p w:rsidR="001F11EF" w:rsidRPr="00BC427E" w:rsidRDefault="001F11EF" w:rsidP="00BC427E">
      <w:pPr>
        <w:pStyle w:val="NormalWeb"/>
        <w:numPr>
          <w:ilvl w:val="0"/>
          <w:numId w:val="2"/>
        </w:numPr>
        <w:spacing w:line="360" w:lineRule="auto"/>
        <w:jc w:val="both"/>
        <w:rPr>
          <w:rFonts w:asciiTheme="minorHAnsi" w:hAnsiTheme="minorHAnsi" w:cstheme="minorHAnsi"/>
          <w:sz w:val="22"/>
          <w:szCs w:val="22"/>
          <w:lang w:val="en-US"/>
        </w:rPr>
      </w:pPr>
      <w:r w:rsidRPr="00BC427E">
        <w:rPr>
          <w:rFonts w:asciiTheme="minorHAnsi" w:hAnsiTheme="minorHAnsi" w:cstheme="minorHAnsi"/>
          <w:bCs/>
          <w:sz w:val="22"/>
          <w:szCs w:val="22"/>
          <w:lang w:val="en-US"/>
        </w:rPr>
        <w:t>Systemic Retention:</w:t>
      </w:r>
      <w:r w:rsidRPr="00BC427E">
        <w:rPr>
          <w:rFonts w:asciiTheme="minorHAnsi" w:hAnsiTheme="minorHAnsi" w:cstheme="minorHAnsi"/>
          <w:sz w:val="22"/>
          <w:szCs w:val="22"/>
          <w:lang w:val="en-US"/>
        </w:rPr>
        <w:t xml:space="preserve"> Most quassinoids cluster in the lower-left quadrant (</w:t>
      </w:r>
      <w:proofErr w:type="spellStart"/>
      <w:r w:rsidR="00BC427E" w:rsidRPr="00BC427E">
        <w:rPr>
          <w:rFonts w:asciiTheme="minorHAnsi" w:hAnsiTheme="minorHAnsi" w:cstheme="minorHAnsi"/>
          <w:bCs/>
          <w:i/>
          <w:sz w:val="22"/>
          <w:szCs w:val="22"/>
          <w:lang w:val="en-US"/>
        </w:rPr>
        <w:t>V</w:t>
      </w:r>
      <w:r w:rsidR="00BC427E" w:rsidRPr="00BC427E">
        <w:rPr>
          <w:rFonts w:asciiTheme="minorHAnsi" w:hAnsiTheme="minorHAnsi" w:cstheme="minorHAnsi"/>
          <w:bCs/>
          <w:i/>
          <w:sz w:val="22"/>
          <w:szCs w:val="22"/>
          <w:vertAlign w:val="subscript"/>
          <w:lang w:val="en-US"/>
        </w:rPr>
        <w:t>Dss</w:t>
      </w:r>
      <w:proofErr w:type="spellEnd"/>
      <w:r w:rsidR="00BC427E" w:rsidRPr="00BC427E">
        <w:rPr>
          <w:rStyle w:val="math-inline"/>
          <w:rFonts w:asciiTheme="minorHAnsi" w:hAnsiTheme="minorHAnsi" w:cstheme="minorHAnsi"/>
          <w:sz w:val="22"/>
          <w:szCs w:val="22"/>
          <w:lang w:val="en-US"/>
        </w:rPr>
        <w:t xml:space="preserve"> </w:t>
      </w:r>
      <w:r w:rsidRPr="00BC427E">
        <w:rPr>
          <w:rStyle w:val="math-inline"/>
          <w:rFonts w:asciiTheme="minorHAnsi" w:hAnsiTheme="minorHAnsi" w:cstheme="minorHAnsi"/>
          <w:sz w:val="22"/>
          <w:szCs w:val="22"/>
          <w:lang w:val="en-US"/>
        </w:rPr>
        <w:t>&lt; 0.6</w:t>
      </w:r>
      <w:r w:rsidRPr="00BC427E">
        <w:rPr>
          <w:rFonts w:asciiTheme="minorHAnsi" w:hAnsiTheme="minorHAnsi" w:cstheme="minorHAnsi"/>
          <w:sz w:val="22"/>
          <w:szCs w:val="22"/>
          <w:lang w:val="en-US"/>
        </w:rPr>
        <w:t xml:space="preserve"> L/kg; PPB 25–55%), suggesting localization primarily within the extracellular fluid.</w:t>
      </w:r>
    </w:p>
    <w:p w:rsidR="001F11EF" w:rsidRPr="00BC427E" w:rsidRDefault="001F11EF" w:rsidP="00BC427E">
      <w:pPr>
        <w:pStyle w:val="NormalWeb"/>
        <w:numPr>
          <w:ilvl w:val="0"/>
          <w:numId w:val="2"/>
        </w:numPr>
        <w:spacing w:line="360" w:lineRule="auto"/>
        <w:jc w:val="both"/>
        <w:rPr>
          <w:rFonts w:asciiTheme="minorHAnsi" w:hAnsiTheme="minorHAnsi" w:cstheme="minorHAnsi"/>
          <w:sz w:val="22"/>
          <w:szCs w:val="22"/>
          <w:lang w:val="en-US"/>
        </w:rPr>
      </w:pPr>
      <w:r w:rsidRPr="00BC427E">
        <w:rPr>
          <w:rFonts w:asciiTheme="minorHAnsi" w:hAnsiTheme="minorHAnsi" w:cstheme="minorHAnsi"/>
          <w:bCs/>
          <w:sz w:val="22"/>
          <w:szCs w:val="22"/>
          <w:lang w:val="en-US"/>
        </w:rPr>
        <w:t>High Tissue Affinity:</w:t>
      </w:r>
      <w:r w:rsidRPr="00BC427E">
        <w:rPr>
          <w:rFonts w:asciiTheme="minorHAnsi" w:hAnsiTheme="minorHAnsi" w:cstheme="minorHAnsi"/>
          <w:sz w:val="22"/>
          <w:szCs w:val="22"/>
          <w:lang w:val="en-US"/>
        </w:rPr>
        <w:t xml:space="preserve"> Two compounds demonstrate superior distribution (</w:t>
      </w:r>
      <w:proofErr w:type="spellStart"/>
      <w:r w:rsidR="00BC427E" w:rsidRPr="00BC427E">
        <w:rPr>
          <w:rFonts w:asciiTheme="minorHAnsi" w:hAnsiTheme="minorHAnsi" w:cstheme="minorHAnsi"/>
          <w:bCs/>
          <w:i/>
          <w:sz w:val="22"/>
          <w:szCs w:val="22"/>
          <w:lang w:val="en-US"/>
        </w:rPr>
        <w:t>V</w:t>
      </w:r>
      <w:r w:rsidR="00BC427E" w:rsidRPr="00BC427E">
        <w:rPr>
          <w:rFonts w:asciiTheme="minorHAnsi" w:hAnsiTheme="minorHAnsi" w:cstheme="minorHAnsi"/>
          <w:bCs/>
          <w:i/>
          <w:sz w:val="22"/>
          <w:szCs w:val="22"/>
          <w:vertAlign w:val="subscript"/>
          <w:lang w:val="en-US"/>
        </w:rPr>
        <w:t>Dss</w:t>
      </w:r>
      <w:proofErr w:type="spellEnd"/>
      <w:r w:rsidRPr="00BC427E">
        <w:rPr>
          <w:rStyle w:val="math-inline"/>
          <w:rFonts w:asciiTheme="minorHAnsi" w:hAnsiTheme="minorHAnsi" w:cstheme="minorHAnsi"/>
          <w:sz w:val="22"/>
          <w:szCs w:val="22"/>
          <w:lang w:val="en-US"/>
        </w:rPr>
        <w:t xml:space="preserve"> &gt; 0.8</w:t>
      </w:r>
      <w:r w:rsidRPr="00BC427E">
        <w:rPr>
          <w:rFonts w:asciiTheme="minorHAnsi" w:hAnsiTheme="minorHAnsi" w:cstheme="minorHAnsi"/>
          <w:sz w:val="22"/>
          <w:szCs w:val="22"/>
          <w:lang w:val="en-US"/>
        </w:rPr>
        <w:t xml:space="preserve"> L/kg), with the primary lead reaching approximately 1.28 L/kg.</w:t>
      </w:r>
    </w:p>
    <w:p w:rsidR="001F11EF" w:rsidRPr="00BC427E" w:rsidRDefault="001F11EF" w:rsidP="00BC427E">
      <w:pPr>
        <w:pStyle w:val="NormalWeb"/>
        <w:numPr>
          <w:ilvl w:val="0"/>
          <w:numId w:val="2"/>
        </w:numPr>
        <w:spacing w:line="360" w:lineRule="auto"/>
        <w:jc w:val="both"/>
        <w:rPr>
          <w:rFonts w:asciiTheme="minorHAnsi" w:hAnsiTheme="minorHAnsi" w:cstheme="minorHAnsi"/>
          <w:sz w:val="22"/>
          <w:szCs w:val="22"/>
          <w:lang w:val="en-US"/>
        </w:rPr>
      </w:pPr>
      <w:r w:rsidRPr="00BC427E">
        <w:rPr>
          <w:rFonts w:asciiTheme="minorHAnsi" w:hAnsiTheme="minorHAnsi" w:cstheme="minorHAnsi"/>
          <w:bCs/>
          <w:sz w:val="22"/>
          <w:szCs w:val="22"/>
          <w:lang w:val="en-US"/>
        </w:rPr>
        <w:t>CNS Penetration Potential:</w:t>
      </w:r>
      <w:r w:rsidRPr="00BC427E">
        <w:rPr>
          <w:rFonts w:asciiTheme="minorHAnsi" w:hAnsiTheme="minorHAnsi" w:cstheme="minorHAnsi"/>
          <w:sz w:val="22"/>
          <w:szCs w:val="22"/>
          <w:lang w:val="en-US"/>
        </w:rPr>
        <w:t xml:space="preserve"> The highest </w:t>
      </w:r>
      <w:proofErr w:type="spellStart"/>
      <w:r w:rsidR="00BC427E" w:rsidRPr="00BC427E">
        <w:rPr>
          <w:rFonts w:asciiTheme="minorHAnsi" w:hAnsiTheme="minorHAnsi" w:cstheme="minorHAnsi"/>
          <w:bCs/>
          <w:i/>
          <w:sz w:val="22"/>
          <w:szCs w:val="22"/>
          <w:lang w:val="en-US"/>
        </w:rPr>
        <w:t>V</w:t>
      </w:r>
      <w:r w:rsidR="00BC427E" w:rsidRPr="00BC427E">
        <w:rPr>
          <w:rFonts w:asciiTheme="minorHAnsi" w:hAnsiTheme="minorHAnsi" w:cstheme="minorHAnsi"/>
          <w:bCs/>
          <w:i/>
          <w:sz w:val="22"/>
          <w:szCs w:val="22"/>
          <w:vertAlign w:val="subscript"/>
          <w:lang w:val="en-US"/>
        </w:rPr>
        <w:t>Dss</w:t>
      </w:r>
      <w:proofErr w:type="spellEnd"/>
      <w:r w:rsidRPr="00BC427E">
        <w:rPr>
          <w:rFonts w:asciiTheme="minorHAnsi" w:hAnsiTheme="minorHAnsi" w:cstheme="minorHAnsi"/>
          <w:sz w:val="22"/>
          <w:szCs w:val="22"/>
          <w:lang w:val="en-US"/>
        </w:rPr>
        <w:t xml:space="preserve"> lead also exhibits peak </w:t>
      </w:r>
      <w:r w:rsidR="00BC427E" w:rsidRPr="00BC427E">
        <w:rPr>
          <w:rStyle w:val="math-inline"/>
          <w:rFonts w:asciiTheme="minorHAnsi" w:hAnsiTheme="minorHAnsi" w:cstheme="minorHAnsi"/>
          <w:i/>
          <w:sz w:val="22"/>
          <w:szCs w:val="22"/>
          <w:lang w:val="en-US"/>
        </w:rPr>
        <w:t>log</w:t>
      </w:r>
      <w:r w:rsidR="00BC427E" w:rsidRPr="00BC427E">
        <w:rPr>
          <w:rStyle w:val="math-inline"/>
          <w:rFonts w:asciiTheme="minorHAnsi" w:hAnsiTheme="minorHAnsi" w:cstheme="minorHAnsi"/>
          <w:i/>
          <w:sz w:val="22"/>
          <w:szCs w:val="22"/>
          <w:vertAlign w:val="subscript"/>
          <w:lang w:val="en-US"/>
        </w:rPr>
        <w:t>10</w:t>
      </w:r>
      <w:r w:rsidR="00BC427E" w:rsidRPr="00BC427E">
        <w:rPr>
          <w:rStyle w:val="math-inline"/>
          <w:rFonts w:asciiTheme="minorHAnsi" w:hAnsiTheme="minorHAnsi" w:cstheme="minorHAnsi"/>
          <w:sz w:val="22"/>
          <w:szCs w:val="22"/>
          <w:lang w:val="en-US"/>
        </w:rPr>
        <w:t xml:space="preserve"> </w:t>
      </w:r>
      <w:r w:rsidRPr="00BC427E">
        <w:rPr>
          <w:rFonts w:asciiTheme="minorHAnsi" w:hAnsiTheme="minorHAnsi" w:cstheme="minorHAnsi"/>
          <w:sz w:val="22"/>
          <w:szCs w:val="22"/>
          <w:lang w:val="en-US"/>
        </w:rPr>
        <w:t>(BBB Penetration) (</w:t>
      </w:r>
      <w:r w:rsidRPr="00BC427E">
        <w:rPr>
          <w:rStyle w:val="math-inline"/>
          <w:rFonts w:asciiTheme="minorHAnsi" w:hAnsiTheme="minorHAnsi" w:cstheme="minorHAnsi"/>
          <w:sz w:val="22"/>
          <w:szCs w:val="22"/>
          <w:lang w:val="en-US"/>
        </w:rPr>
        <w:t>0.8</w:t>
      </w:r>
      <w:r w:rsidRPr="00BC427E">
        <w:rPr>
          <w:rFonts w:asciiTheme="minorHAnsi" w:hAnsiTheme="minorHAnsi" w:cstheme="minorHAnsi"/>
          <w:sz w:val="22"/>
          <w:szCs w:val="22"/>
          <w:lang w:val="en-US"/>
        </w:rPr>
        <w:t>, yellow point), identifying it as a candidate for CNS-targeted research.</w:t>
      </w:r>
    </w:p>
    <w:p w:rsidR="001F11EF" w:rsidRPr="00BC427E" w:rsidRDefault="00BC427E" w:rsidP="00BC427E">
      <w:pPr>
        <w:pStyle w:val="NormalWeb"/>
        <w:numPr>
          <w:ilvl w:val="0"/>
          <w:numId w:val="2"/>
        </w:numPr>
        <w:spacing w:line="360" w:lineRule="auto"/>
        <w:jc w:val="both"/>
        <w:rPr>
          <w:rFonts w:asciiTheme="minorHAnsi" w:hAnsiTheme="minorHAnsi" w:cstheme="minorHAnsi"/>
          <w:sz w:val="22"/>
          <w:szCs w:val="22"/>
          <w:lang w:val="en-US"/>
        </w:rPr>
      </w:pPr>
      <w:r w:rsidRPr="00BC427E">
        <w:rPr>
          <w:rFonts w:asciiTheme="minorHAnsi" w:hAnsiTheme="minorHAnsi" w:cstheme="minorHAnsi"/>
          <w:noProof/>
          <w:sz w:val="22"/>
        </w:rPr>
        <w:drawing>
          <wp:anchor distT="0" distB="0" distL="114300" distR="114300" simplePos="0" relativeHeight="251663360" behindDoc="0" locked="0" layoutInCell="1" allowOverlap="1" wp14:anchorId="4EB2D06A" wp14:editId="3CF2520B">
            <wp:simplePos x="0" y="0"/>
            <wp:positionH relativeFrom="margin">
              <wp:align>center</wp:align>
            </wp:positionH>
            <wp:positionV relativeFrom="paragraph">
              <wp:posOffset>517828</wp:posOffset>
            </wp:positionV>
            <wp:extent cx="4116132" cy="288000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stribution_scatter.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16132" cy="2880000"/>
                    </a:xfrm>
                    <a:prstGeom prst="rect">
                      <a:avLst/>
                    </a:prstGeom>
                  </pic:spPr>
                </pic:pic>
              </a:graphicData>
            </a:graphic>
            <wp14:sizeRelH relativeFrom="page">
              <wp14:pctWidth>0</wp14:pctWidth>
            </wp14:sizeRelH>
            <wp14:sizeRelV relativeFrom="page">
              <wp14:pctHeight>0</wp14:pctHeight>
            </wp14:sizeRelV>
          </wp:anchor>
        </w:drawing>
      </w:r>
      <w:r w:rsidR="001F11EF" w:rsidRPr="00BC427E">
        <w:rPr>
          <w:rFonts w:asciiTheme="minorHAnsi" w:hAnsiTheme="minorHAnsi" w:cstheme="minorHAnsi"/>
          <w:bCs/>
          <w:sz w:val="22"/>
          <w:szCs w:val="22"/>
          <w:lang w:val="en-US"/>
        </w:rPr>
        <w:t>Bioavailability Advantage:</w:t>
      </w:r>
      <w:r w:rsidR="001F11EF" w:rsidRPr="00BC427E">
        <w:rPr>
          <w:rFonts w:asciiTheme="minorHAnsi" w:hAnsiTheme="minorHAnsi" w:cstheme="minorHAnsi"/>
          <w:sz w:val="22"/>
          <w:szCs w:val="22"/>
          <w:lang w:val="en-US"/>
        </w:rPr>
        <w:t xml:space="preserve"> Large bubble sizes (</w:t>
      </w:r>
      <w:proofErr w:type="spellStart"/>
      <w:r w:rsidRPr="00BC427E">
        <w:rPr>
          <w:rStyle w:val="math-inline"/>
          <w:rFonts w:asciiTheme="minorHAnsi" w:hAnsiTheme="minorHAnsi" w:cstheme="minorHAnsi"/>
          <w:i/>
          <w:sz w:val="22"/>
          <w:szCs w:val="22"/>
          <w:lang w:val="en-US"/>
        </w:rPr>
        <w:t>f</w:t>
      </w:r>
      <w:r w:rsidR="001F11EF" w:rsidRPr="00BC427E">
        <w:rPr>
          <w:rStyle w:val="math-inline"/>
          <w:rFonts w:asciiTheme="minorHAnsi" w:hAnsiTheme="minorHAnsi" w:cstheme="minorHAnsi"/>
          <w:i/>
          <w:sz w:val="22"/>
          <w:szCs w:val="22"/>
          <w:vertAlign w:val="subscript"/>
          <w:lang w:val="en-US"/>
        </w:rPr>
        <w:t>u</w:t>
      </w:r>
      <w:proofErr w:type="spellEnd"/>
      <w:r w:rsidR="001F11EF" w:rsidRPr="00BC427E">
        <w:rPr>
          <w:rFonts w:asciiTheme="minorHAnsi" w:hAnsiTheme="minorHAnsi" w:cstheme="minorHAnsi"/>
          <w:sz w:val="22"/>
          <w:szCs w:val="22"/>
          <w:lang w:val="en-US"/>
        </w:rPr>
        <w:t>) among high-distribution leads indicate significant free drug availability for extravascular target engagement.</w:t>
      </w:r>
    </w:p>
    <w:p w:rsidR="0024797F" w:rsidRPr="001F11EF" w:rsidRDefault="001F11EF" w:rsidP="00BC427E">
      <w:pPr>
        <w:spacing w:line="360" w:lineRule="auto"/>
        <w:ind w:left="360"/>
        <w:jc w:val="both"/>
        <w:rPr>
          <w:sz w:val="20"/>
          <w:lang w:val="en-US"/>
        </w:rPr>
      </w:pPr>
      <w:r w:rsidRPr="001F11EF">
        <w:rPr>
          <w:sz w:val="20"/>
          <w:lang w:val="en-US"/>
        </w:rPr>
        <w:t>Figure 3. Multivariate distribution profile of Castela quassinoids. The scatter plot correlates Volume of Distribution (</w:t>
      </w:r>
      <w:proofErr w:type="spellStart"/>
      <w:r w:rsidR="00BC427E" w:rsidRPr="00BC427E">
        <w:rPr>
          <w:rFonts w:cstheme="minorHAnsi"/>
          <w:bCs/>
          <w:i/>
          <w:lang w:val="en-US"/>
        </w:rPr>
        <w:t>V</w:t>
      </w:r>
      <w:r w:rsidR="00BC427E" w:rsidRPr="00BC427E">
        <w:rPr>
          <w:rFonts w:cstheme="minorHAnsi"/>
          <w:bCs/>
          <w:i/>
          <w:vertAlign w:val="subscript"/>
          <w:lang w:val="en-US"/>
        </w:rPr>
        <w:t>Dss</w:t>
      </w:r>
      <w:proofErr w:type="spellEnd"/>
      <w:r w:rsidRPr="001F11EF">
        <w:rPr>
          <w:sz w:val="20"/>
          <w:lang w:val="en-US"/>
        </w:rPr>
        <w:t xml:space="preserve">) with Plasma Protein Binding (PPB%). Data point color represents the </w:t>
      </w:r>
      <w:r w:rsidR="00BC427E" w:rsidRPr="00BC427E">
        <w:rPr>
          <w:rStyle w:val="math-inline"/>
          <w:rFonts w:cstheme="minorHAnsi"/>
          <w:i/>
          <w:lang w:val="en-US"/>
        </w:rPr>
        <w:t>log</w:t>
      </w:r>
      <w:r w:rsidR="00BC427E" w:rsidRPr="00BC427E">
        <w:rPr>
          <w:rStyle w:val="math-inline"/>
          <w:rFonts w:cstheme="minorHAnsi"/>
          <w:i/>
          <w:vertAlign w:val="subscript"/>
          <w:lang w:val="en-US"/>
        </w:rPr>
        <w:t>10</w:t>
      </w:r>
      <w:r w:rsidRPr="001F11EF">
        <w:rPr>
          <w:sz w:val="20"/>
          <w:lang w:val="en-US"/>
        </w:rPr>
        <w:t xml:space="preserve"> (BBB Penetration) gradient, while point size indicates the percentage of Fraction Unbound </w:t>
      </w:r>
      <w:r w:rsidR="00BC427E" w:rsidRPr="00BC427E">
        <w:rPr>
          <w:rFonts w:cstheme="minorHAnsi"/>
          <w:lang w:val="en-US"/>
        </w:rPr>
        <w:t>(</w:t>
      </w:r>
      <w:proofErr w:type="spellStart"/>
      <w:r w:rsidR="00BC427E" w:rsidRPr="00BC427E">
        <w:rPr>
          <w:rStyle w:val="math-inline"/>
          <w:rFonts w:cstheme="minorHAnsi"/>
          <w:i/>
          <w:lang w:val="en-US"/>
        </w:rPr>
        <w:t>f</w:t>
      </w:r>
      <w:r w:rsidR="00BC427E" w:rsidRPr="00BC427E">
        <w:rPr>
          <w:rStyle w:val="math-inline"/>
          <w:rFonts w:cstheme="minorHAnsi"/>
          <w:i/>
          <w:vertAlign w:val="subscript"/>
          <w:lang w:val="en-US"/>
        </w:rPr>
        <w:t>u</w:t>
      </w:r>
      <w:proofErr w:type="spellEnd"/>
      <w:r w:rsidR="00BC427E" w:rsidRPr="00BC427E">
        <w:rPr>
          <w:rFonts w:cstheme="minorHAnsi"/>
          <w:lang w:val="en-US"/>
        </w:rPr>
        <w:t>)</w:t>
      </w:r>
      <w:r w:rsidRPr="001F11EF">
        <w:rPr>
          <w:sz w:val="20"/>
          <w:lang w:val="en-US"/>
        </w:rPr>
        <w:t xml:space="preserve">. Statistical independence (Spearman </w:t>
      </w:r>
      <w:r w:rsidRPr="00BC427E">
        <w:rPr>
          <w:i/>
          <w:sz w:val="20"/>
          <w:lang w:val="en-US"/>
        </w:rPr>
        <w:lastRenderedPageBreak/>
        <w:t>r</w:t>
      </w:r>
      <w:r w:rsidRPr="001F11EF">
        <w:rPr>
          <w:sz w:val="20"/>
          <w:lang w:val="en-US"/>
        </w:rPr>
        <w:t xml:space="preserve"> = 0.13$) suggests that distribution is driven by specific structural properties rather than non-specific protein binding.</w:t>
      </w:r>
    </w:p>
    <w:sectPr w:rsidR="0024797F" w:rsidRPr="001F11EF" w:rsidSect="00CE10AA">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CA7FB1"/>
    <w:multiLevelType w:val="multilevel"/>
    <w:tmpl w:val="0A8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C27E61"/>
    <w:multiLevelType w:val="multilevel"/>
    <w:tmpl w:val="50B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E8F"/>
    <w:rsid w:val="000E595B"/>
    <w:rsid w:val="00141B3A"/>
    <w:rsid w:val="001F11EF"/>
    <w:rsid w:val="0024797F"/>
    <w:rsid w:val="00673E8F"/>
    <w:rsid w:val="009B069F"/>
    <w:rsid w:val="00A11ADF"/>
    <w:rsid w:val="00BC427E"/>
    <w:rsid w:val="00CA18B2"/>
    <w:rsid w:val="00CE10AA"/>
    <w:rsid w:val="00F202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010A"/>
  <w15:chartTrackingRefBased/>
  <w15:docId w15:val="{30901E73-1695-4937-AF63-2A91FD4F6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F11E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ath-inline">
    <w:name w:val="math-inline"/>
    <w:basedOn w:val="Fuentedeprrafopredeter"/>
    <w:rsid w:val="001F11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0943918">
      <w:bodyDiv w:val="1"/>
      <w:marLeft w:val="0"/>
      <w:marRight w:val="0"/>
      <w:marTop w:val="0"/>
      <w:marBottom w:val="0"/>
      <w:divBdr>
        <w:top w:val="none" w:sz="0" w:space="0" w:color="auto"/>
        <w:left w:val="none" w:sz="0" w:space="0" w:color="auto"/>
        <w:bottom w:val="none" w:sz="0" w:space="0" w:color="auto"/>
        <w:right w:val="none" w:sz="0" w:space="0" w:color="auto"/>
      </w:divBdr>
    </w:div>
    <w:div w:id="1566140079">
      <w:bodyDiv w:val="1"/>
      <w:marLeft w:val="0"/>
      <w:marRight w:val="0"/>
      <w:marTop w:val="0"/>
      <w:marBottom w:val="0"/>
      <w:divBdr>
        <w:top w:val="none" w:sz="0" w:space="0" w:color="auto"/>
        <w:left w:val="none" w:sz="0" w:space="0" w:color="auto"/>
        <w:bottom w:val="none" w:sz="0" w:space="0" w:color="auto"/>
        <w:right w:val="none" w:sz="0" w:space="0" w:color="auto"/>
      </w:divBdr>
    </w:div>
    <w:div w:id="1752846223">
      <w:bodyDiv w:val="1"/>
      <w:marLeft w:val="0"/>
      <w:marRight w:val="0"/>
      <w:marTop w:val="0"/>
      <w:marBottom w:val="0"/>
      <w:divBdr>
        <w:top w:val="none" w:sz="0" w:space="0" w:color="auto"/>
        <w:left w:val="none" w:sz="0" w:space="0" w:color="auto"/>
        <w:bottom w:val="none" w:sz="0" w:space="0" w:color="auto"/>
        <w:right w:val="none" w:sz="0" w:space="0" w:color="auto"/>
      </w:divBdr>
    </w:div>
    <w:div w:id="1983120622">
      <w:bodyDiv w:val="1"/>
      <w:marLeft w:val="0"/>
      <w:marRight w:val="0"/>
      <w:marTop w:val="0"/>
      <w:marBottom w:val="0"/>
      <w:divBdr>
        <w:top w:val="none" w:sz="0" w:space="0" w:color="auto"/>
        <w:left w:val="none" w:sz="0" w:space="0" w:color="auto"/>
        <w:bottom w:val="none" w:sz="0" w:space="0" w:color="auto"/>
        <w:right w:val="none" w:sz="0" w:space="0" w:color="auto"/>
      </w:divBdr>
    </w:div>
    <w:div w:id="2064477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772</Words>
  <Characters>4246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X</dc:creator>
  <cp:keywords/>
  <dc:description/>
  <cp:lastModifiedBy>Usuario X</cp:lastModifiedBy>
  <cp:revision>4</cp:revision>
  <dcterms:created xsi:type="dcterms:W3CDTF">2025-12-29T22:47:00Z</dcterms:created>
  <dcterms:modified xsi:type="dcterms:W3CDTF">2025-12-30T02:08:00Z</dcterms:modified>
</cp:coreProperties>
</file>