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00C39" w14:textId="30C3A187" w:rsidR="004A0953" w:rsidRPr="00557AA8" w:rsidRDefault="001C4C7F" w:rsidP="001C4C7F">
      <w:pPr>
        <w:spacing w:after="0" w:line="240" w:lineRule="auto"/>
        <w:rPr>
          <w:rFonts w:asciiTheme="majorHAnsi" w:hAnsiTheme="majorHAnsi"/>
          <w:sz w:val="28"/>
          <w:szCs w:val="28"/>
        </w:rPr>
      </w:pPr>
      <w:r w:rsidRPr="00557AA8">
        <w:rPr>
          <w:rFonts w:asciiTheme="majorHAnsi" w:hAnsiTheme="majorHAnsi"/>
          <w:sz w:val="28"/>
          <w:szCs w:val="28"/>
        </w:rPr>
        <w:t>EDSD thesis Alex Sheridan</w:t>
      </w:r>
    </w:p>
    <w:p w14:paraId="397C8B38" w14:textId="47DE951A"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 Summary</w:t>
      </w:r>
    </w:p>
    <w:p w14:paraId="79F5AE92" w14:textId="77777777" w:rsidR="001C4C7F" w:rsidRPr="001C4C7F" w:rsidRDefault="001C4C7F" w:rsidP="001C4C7F">
      <w:pPr>
        <w:spacing w:after="0" w:line="240" w:lineRule="auto"/>
        <w:rPr>
          <w:rFonts w:asciiTheme="majorHAnsi" w:hAnsiTheme="majorHAnsi"/>
          <w:sz w:val="28"/>
          <w:szCs w:val="28"/>
        </w:rPr>
      </w:pPr>
    </w:p>
    <w:p w14:paraId="6136FEF7"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Title: Gender Gaps in Parenting Practices in the UK and France: Parental Expectations, Family Resources, and Division of </w:t>
      </w:r>
      <w:proofErr w:type="spellStart"/>
      <w:r w:rsidRPr="001C4C7F">
        <w:rPr>
          <w:rFonts w:asciiTheme="majorHAnsi" w:hAnsiTheme="majorHAnsi"/>
          <w:sz w:val="28"/>
          <w:szCs w:val="28"/>
        </w:rPr>
        <w:t>Labour</w:t>
      </w:r>
      <w:proofErr w:type="spellEnd"/>
    </w:p>
    <w:p w14:paraId="15E0212D"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Author: Alex Sheridan (EDSD, September 2025)</w:t>
      </w:r>
    </w:p>
    <w:p w14:paraId="52656DD9" w14:textId="77777777" w:rsidR="001C4C7F" w:rsidRPr="001C4C7F" w:rsidRDefault="001C4C7F" w:rsidP="001C4C7F">
      <w:pPr>
        <w:spacing w:after="0" w:line="240" w:lineRule="auto"/>
        <w:rPr>
          <w:rFonts w:asciiTheme="majorHAnsi" w:hAnsiTheme="majorHAnsi"/>
          <w:sz w:val="28"/>
          <w:szCs w:val="28"/>
        </w:rPr>
      </w:pPr>
    </w:p>
    <w:p w14:paraId="18340802" w14:textId="77777777" w:rsidR="001C4C7F" w:rsidRPr="001C4C7F" w:rsidRDefault="001C4C7F" w:rsidP="001C4C7F">
      <w:pPr>
        <w:spacing w:after="0" w:line="240" w:lineRule="auto"/>
        <w:rPr>
          <w:rFonts w:asciiTheme="majorHAnsi" w:hAnsiTheme="majorHAnsi"/>
          <w:b/>
          <w:bCs/>
          <w:sz w:val="28"/>
          <w:szCs w:val="28"/>
        </w:rPr>
      </w:pPr>
      <w:r w:rsidRPr="001C4C7F">
        <w:rPr>
          <w:rFonts w:asciiTheme="majorHAnsi" w:hAnsiTheme="majorHAnsi"/>
          <w:b/>
          <w:bCs/>
          <w:sz w:val="28"/>
          <w:szCs w:val="28"/>
        </w:rPr>
        <w:t>Aim &amp; Research Questions</w:t>
      </w:r>
    </w:p>
    <w:p w14:paraId="1F23F6F7" w14:textId="77777777" w:rsidR="001C4C7F" w:rsidRPr="001C4C7F" w:rsidRDefault="001C4C7F" w:rsidP="001C4C7F">
      <w:pPr>
        <w:spacing w:after="0" w:line="240" w:lineRule="auto"/>
        <w:rPr>
          <w:rFonts w:asciiTheme="majorHAnsi" w:hAnsiTheme="majorHAnsi"/>
          <w:sz w:val="28"/>
          <w:szCs w:val="28"/>
        </w:rPr>
      </w:pPr>
    </w:p>
    <w:p w14:paraId="41C62B16" w14:textId="77777777" w:rsidR="001C4C7F" w:rsidRPr="001C4C7F" w:rsidRDefault="001C4C7F" w:rsidP="001C4C7F">
      <w:pPr>
        <w:pStyle w:val="ListParagraph"/>
        <w:numPr>
          <w:ilvl w:val="0"/>
          <w:numId w:val="1"/>
        </w:numPr>
        <w:spacing w:after="0" w:line="240" w:lineRule="auto"/>
        <w:rPr>
          <w:rFonts w:asciiTheme="majorHAnsi" w:hAnsiTheme="majorHAnsi"/>
          <w:sz w:val="28"/>
          <w:szCs w:val="28"/>
        </w:rPr>
      </w:pPr>
      <w:r w:rsidRPr="001C4C7F">
        <w:rPr>
          <w:rFonts w:asciiTheme="majorHAnsi" w:hAnsiTheme="majorHAnsi"/>
          <w:sz w:val="28"/>
          <w:szCs w:val="28"/>
        </w:rPr>
        <w:t>To examine whether parenting is gendered in France and the UK.</w:t>
      </w:r>
    </w:p>
    <w:p w14:paraId="6A6FBE29" w14:textId="77777777" w:rsidR="001C4C7F" w:rsidRPr="001C4C7F" w:rsidRDefault="001C4C7F" w:rsidP="001C4C7F">
      <w:pPr>
        <w:spacing w:after="0" w:line="240" w:lineRule="auto"/>
        <w:rPr>
          <w:rFonts w:asciiTheme="majorHAnsi" w:hAnsiTheme="majorHAnsi"/>
          <w:sz w:val="28"/>
          <w:szCs w:val="28"/>
        </w:rPr>
      </w:pPr>
    </w:p>
    <w:p w14:paraId="5BDF1C8F" w14:textId="77777777" w:rsidR="001C4C7F" w:rsidRPr="001C4C7F" w:rsidRDefault="001C4C7F" w:rsidP="001C4C7F">
      <w:pPr>
        <w:pStyle w:val="ListParagraph"/>
        <w:numPr>
          <w:ilvl w:val="0"/>
          <w:numId w:val="1"/>
        </w:numPr>
        <w:spacing w:after="0" w:line="240" w:lineRule="auto"/>
        <w:rPr>
          <w:rFonts w:asciiTheme="majorHAnsi" w:hAnsiTheme="majorHAnsi"/>
          <w:sz w:val="28"/>
          <w:szCs w:val="28"/>
        </w:rPr>
      </w:pPr>
      <w:r w:rsidRPr="001C4C7F">
        <w:rPr>
          <w:rFonts w:asciiTheme="majorHAnsi" w:hAnsiTheme="majorHAnsi"/>
          <w:sz w:val="28"/>
          <w:szCs w:val="28"/>
        </w:rPr>
        <w:t>To explore whether parenting practices are socially stratified.</w:t>
      </w:r>
    </w:p>
    <w:p w14:paraId="195788D9" w14:textId="77777777" w:rsidR="001C4C7F" w:rsidRPr="001C4C7F" w:rsidRDefault="001C4C7F" w:rsidP="001C4C7F">
      <w:pPr>
        <w:spacing w:after="0" w:line="240" w:lineRule="auto"/>
        <w:rPr>
          <w:rFonts w:asciiTheme="majorHAnsi" w:hAnsiTheme="majorHAnsi"/>
          <w:sz w:val="28"/>
          <w:szCs w:val="28"/>
        </w:rPr>
      </w:pPr>
    </w:p>
    <w:p w14:paraId="4E2999B7" w14:textId="77777777" w:rsidR="001C4C7F" w:rsidRPr="001C4C7F" w:rsidRDefault="001C4C7F" w:rsidP="001C4C7F">
      <w:pPr>
        <w:pStyle w:val="ListParagraph"/>
        <w:numPr>
          <w:ilvl w:val="0"/>
          <w:numId w:val="1"/>
        </w:numPr>
        <w:spacing w:after="0" w:line="240" w:lineRule="auto"/>
        <w:rPr>
          <w:rFonts w:asciiTheme="majorHAnsi" w:hAnsiTheme="majorHAnsi"/>
          <w:sz w:val="28"/>
          <w:szCs w:val="28"/>
        </w:rPr>
      </w:pPr>
      <w:r w:rsidRPr="001C4C7F">
        <w:rPr>
          <w:rFonts w:asciiTheme="majorHAnsi" w:hAnsiTheme="majorHAnsi"/>
          <w:sz w:val="28"/>
          <w:szCs w:val="28"/>
        </w:rPr>
        <w:t>To investigate whether gendered parenting depends on social class.</w:t>
      </w:r>
    </w:p>
    <w:p w14:paraId="2CFAD3C1" w14:textId="77777777" w:rsidR="001C4C7F" w:rsidRPr="001C4C7F" w:rsidRDefault="001C4C7F" w:rsidP="001C4C7F">
      <w:pPr>
        <w:spacing w:after="0" w:line="240" w:lineRule="auto"/>
        <w:rPr>
          <w:rFonts w:asciiTheme="majorHAnsi" w:hAnsiTheme="majorHAnsi"/>
          <w:sz w:val="28"/>
          <w:szCs w:val="28"/>
        </w:rPr>
      </w:pPr>
    </w:p>
    <w:p w14:paraId="2D9A5786" w14:textId="77777777" w:rsidR="001C4C7F" w:rsidRPr="001C4C7F" w:rsidRDefault="001C4C7F" w:rsidP="001C4C7F">
      <w:pPr>
        <w:spacing w:after="0" w:line="240" w:lineRule="auto"/>
        <w:rPr>
          <w:rFonts w:asciiTheme="majorHAnsi" w:hAnsiTheme="majorHAnsi"/>
          <w:b/>
          <w:bCs/>
          <w:sz w:val="28"/>
          <w:szCs w:val="28"/>
        </w:rPr>
      </w:pPr>
      <w:r w:rsidRPr="001C4C7F">
        <w:rPr>
          <w:rFonts w:asciiTheme="majorHAnsi" w:hAnsiTheme="majorHAnsi"/>
          <w:b/>
          <w:bCs/>
          <w:sz w:val="28"/>
          <w:szCs w:val="28"/>
        </w:rPr>
        <w:t>Data &amp; Methods</w:t>
      </w:r>
    </w:p>
    <w:p w14:paraId="151C834D" w14:textId="77777777" w:rsidR="001C4C7F" w:rsidRPr="001C4C7F" w:rsidRDefault="001C4C7F" w:rsidP="001C4C7F">
      <w:pPr>
        <w:spacing w:after="0" w:line="240" w:lineRule="auto"/>
        <w:rPr>
          <w:rFonts w:asciiTheme="majorHAnsi" w:hAnsiTheme="majorHAnsi"/>
          <w:sz w:val="28"/>
          <w:szCs w:val="28"/>
        </w:rPr>
      </w:pPr>
    </w:p>
    <w:p w14:paraId="01E5EFBA"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UK: Millennium Cohort Study (MCS), ~14,133 families (children born 2000–2002).</w:t>
      </w:r>
    </w:p>
    <w:p w14:paraId="6D2A625F" w14:textId="77777777" w:rsidR="001C4C7F" w:rsidRPr="001C4C7F" w:rsidRDefault="001C4C7F" w:rsidP="001C4C7F">
      <w:pPr>
        <w:spacing w:after="0" w:line="240" w:lineRule="auto"/>
        <w:rPr>
          <w:rFonts w:asciiTheme="majorHAnsi" w:hAnsiTheme="majorHAnsi"/>
          <w:sz w:val="28"/>
          <w:szCs w:val="28"/>
        </w:rPr>
      </w:pPr>
    </w:p>
    <w:p w14:paraId="0E0CD260"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France: Étude </w:t>
      </w:r>
      <w:proofErr w:type="spellStart"/>
      <w:r w:rsidRPr="001C4C7F">
        <w:rPr>
          <w:rFonts w:asciiTheme="majorHAnsi" w:hAnsiTheme="majorHAnsi"/>
          <w:sz w:val="28"/>
          <w:szCs w:val="28"/>
        </w:rPr>
        <w:t>longitudinale</w:t>
      </w:r>
      <w:proofErr w:type="spellEnd"/>
      <w:r w:rsidRPr="001C4C7F">
        <w:rPr>
          <w:rFonts w:asciiTheme="majorHAnsi" w:hAnsiTheme="majorHAnsi"/>
          <w:sz w:val="28"/>
          <w:szCs w:val="28"/>
        </w:rPr>
        <w:t xml:space="preserve"> française </w:t>
      </w:r>
      <w:proofErr w:type="spellStart"/>
      <w:r w:rsidRPr="001C4C7F">
        <w:rPr>
          <w:rFonts w:asciiTheme="majorHAnsi" w:hAnsiTheme="majorHAnsi"/>
          <w:sz w:val="28"/>
          <w:szCs w:val="28"/>
        </w:rPr>
        <w:t>depuis</w:t>
      </w:r>
      <w:proofErr w:type="spellEnd"/>
      <w:r w:rsidRPr="001C4C7F">
        <w:rPr>
          <w:rFonts w:asciiTheme="majorHAnsi" w:hAnsiTheme="majorHAnsi"/>
          <w:sz w:val="28"/>
          <w:szCs w:val="28"/>
        </w:rPr>
        <w:t xml:space="preserve"> </w:t>
      </w:r>
      <w:proofErr w:type="spellStart"/>
      <w:r w:rsidRPr="001C4C7F">
        <w:rPr>
          <w:rFonts w:asciiTheme="majorHAnsi" w:hAnsiTheme="majorHAnsi"/>
          <w:sz w:val="28"/>
          <w:szCs w:val="28"/>
        </w:rPr>
        <w:t>l’enfance</w:t>
      </w:r>
      <w:proofErr w:type="spellEnd"/>
      <w:r w:rsidRPr="001C4C7F">
        <w:rPr>
          <w:rFonts w:asciiTheme="majorHAnsi" w:hAnsiTheme="majorHAnsi"/>
          <w:sz w:val="28"/>
          <w:szCs w:val="28"/>
        </w:rPr>
        <w:t xml:space="preserve"> (</w:t>
      </w:r>
      <w:proofErr w:type="spellStart"/>
      <w:r w:rsidRPr="001C4C7F">
        <w:rPr>
          <w:rFonts w:asciiTheme="majorHAnsi" w:hAnsiTheme="majorHAnsi"/>
          <w:sz w:val="28"/>
          <w:szCs w:val="28"/>
        </w:rPr>
        <w:t>Elfe</w:t>
      </w:r>
      <w:proofErr w:type="spellEnd"/>
      <w:r w:rsidRPr="001C4C7F">
        <w:rPr>
          <w:rFonts w:asciiTheme="majorHAnsi" w:hAnsiTheme="majorHAnsi"/>
          <w:sz w:val="28"/>
          <w:szCs w:val="28"/>
        </w:rPr>
        <w:t>), ~11,214 families (children born 2011).</w:t>
      </w:r>
    </w:p>
    <w:p w14:paraId="1CEF5AA9" w14:textId="77777777" w:rsidR="001C4C7F" w:rsidRPr="001C4C7F" w:rsidRDefault="001C4C7F" w:rsidP="001C4C7F">
      <w:pPr>
        <w:spacing w:after="0" w:line="240" w:lineRule="auto"/>
        <w:rPr>
          <w:rFonts w:asciiTheme="majorHAnsi" w:hAnsiTheme="majorHAnsi"/>
          <w:sz w:val="28"/>
          <w:szCs w:val="28"/>
        </w:rPr>
      </w:pPr>
    </w:p>
    <w:p w14:paraId="2575B833"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Focus: children under age 5.</w:t>
      </w:r>
    </w:p>
    <w:p w14:paraId="302835D9" w14:textId="77777777" w:rsidR="001C4C7F" w:rsidRPr="001C4C7F" w:rsidRDefault="001C4C7F" w:rsidP="001C4C7F">
      <w:pPr>
        <w:spacing w:after="0" w:line="240" w:lineRule="auto"/>
        <w:rPr>
          <w:rFonts w:asciiTheme="majorHAnsi" w:hAnsiTheme="majorHAnsi"/>
          <w:sz w:val="28"/>
          <w:szCs w:val="28"/>
        </w:rPr>
      </w:pPr>
    </w:p>
    <w:p w14:paraId="11A69DF3"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Three dimensions:</w:t>
      </w:r>
    </w:p>
    <w:p w14:paraId="40063E22" w14:textId="77777777" w:rsidR="001C4C7F" w:rsidRPr="001C4C7F" w:rsidRDefault="001C4C7F" w:rsidP="001C4C7F">
      <w:pPr>
        <w:spacing w:after="0" w:line="240" w:lineRule="auto"/>
        <w:rPr>
          <w:rFonts w:asciiTheme="majorHAnsi" w:hAnsiTheme="majorHAnsi"/>
          <w:sz w:val="28"/>
          <w:szCs w:val="28"/>
        </w:rPr>
      </w:pPr>
    </w:p>
    <w:p w14:paraId="4A8A636F"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Parents’ expectations &amp; attitudes.</w:t>
      </w:r>
    </w:p>
    <w:p w14:paraId="3A15854C" w14:textId="77777777" w:rsidR="001C4C7F" w:rsidRPr="001C4C7F" w:rsidRDefault="001C4C7F" w:rsidP="001C4C7F">
      <w:pPr>
        <w:spacing w:after="0" w:line="240" w:lineRule="auto"/>
        <w:rPr>
          <w:rFonts w:asciiTheme="majorHAnsi" w:hAnsiTheme="majorHAnsi"/>
          <w:sz w:val="28"/>
          <w:szCs w:val="28"/>
        </w:rPr>
      </w:pPr>
    </w:p>
    <w:p w14:paraId="66A784A1"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Parents’ role modelling &amp; division of </w:t>
      </w:r>
      <w:proofErr w:type="spellStart"/>
      <w:r w:rsidRPr="001C4C7F">
        <w:rPr>
          <w:rFonts w:asciiTheme="majorHAnsi" w:hAnsiTheme="majorHAnsi"/>
          <w:sz w:val="28"/>
          <w:szCs w:val="28"/>
        </w:rPr>
        <w:t>labour</w:t>
      </w:r>
      <w:proofErr w:type="spellEnd"/>
      <w:r w:rsidRPr="001C4C7F">
        <w:rPr>
          <w:rFonts w:asciiTheme="majorHAnsi" w:hAnsiTheme="majorHAnsi"/>
          <w:sz w:val="28"/>
          <w:szCs w:val="28"/>
        </w:rPr>
        <w:t>.</w:t>
      </w:r>
    </w:p>
    <w:p w14:paraId="43981464" w14:textId="77777777" w:rsidR="001C4C7F" w:rsidRPr="001C4C7F" w:rsidRDefault="001C4C7F" w:rsidP="001C4C7F">
      <w:pPr>
        <w:spacing w:after="0" w:line="240" w:lineRule="auto"/>
        <w:rPr>
          <w:rFonts w:asciiTheme="majorHAnsi" w:hAnsiTheme="majorHAnsi"/>
          <w:sz w:val="28"/>
          <w:szCs w:val="28"/>
        </w:rPr>
      </w:pPr>
    </w:p>
    <w:p w14:paraId="3C531C7E"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Children’s access &amp; exposure to family resources.</w:t>
      </w:r>
    </w:p>
    <w:p w14:paraId="5B78D148" w14:textId="77777777" w:rsidR="001C4C7F" w:rsidRPr="001C4C7F" w:rsidRDefault="001C4C7F" w:rsidP="001C4C7F">
      <w:pPr>
        <w:spacing w:after="0" w:line="240" w:lineRule="auto"/>
        <w:rPr>
          <w:rFonts w:asciiTheme="majorHAnsi" w:hAnsiTheme="majorHAnsi"/>
          <w:sz w:val="28"/>
          <w:szCs w:val="28"/>
        </w:rPr>
      </w:pPr>
    </w:p>
    <w:p w14:paraId="4501AA3F"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Methods: Linear regression models (linear probability models for binary outcomes), stepwise specifications with sex, mother’s education, and interactions, controlling for family structure, parental employment, and leave. Weighted analyses with imputation for covariates.</w:t>
      </w:r>
    </w:p>
    <w:p w14:paraId="6BED0CB9" w14:textId="77777777" w:rsidR="001C4C7F" w:rsidRPr="001C4C7F" w:rsidRDefault="001C4C7F" w:rsidP="001C4C7F">
      <w:pPr>
        <w:spacing w:after="0" w:line="240" w:lineRule="auto"/>
        <w:rPr>
          <w:rFonts w:asciiTheme="majorHAnsi" w:hAnsiTheme="majorHAnsi"/>
          <w:sz w:val="28"/>
          <w:szCs w:val="28"/>
        </w:rPr>
      </w:pPr>
    </w:p>
    <w:p w14:paraId="000E0D3F" w14:textId="77777777" w:rsidR="001C4C7F" w:rsidRPr="001C4C7F" w:rsidRDefault="001C4C7F" w:rsidP="001C4C7F">
      <w:pPr>
        <w:spacing w:after="0" w:line="240" w:lineRule="auto"/>
        <w:rPr>
          <w:rFonts w:asciiTheme="majorHAnsi" w:hAnsiTheme="majorHAnsi"/>
          <w:b/>
          <w:bCs/>
          <w:sz w:val="28"/>
          <w:szCs w:val="28"/>
        </w:rPr>
      </w:pPr>
      <w:r w:rsidRPr="001C4C7F">
        <w:rPr>
          <w:rFonts w:asciiTheme="majorHAnsi" w:hAnsiTheme="majorHAnsi"/>
          <w:b/>
          <w:bCs/>
          <w:sz w:val="28"/>
          <w:szCs w:val="28"/>
        </w:rPr>
        <w:lastRenderedPageBreak/>
        <w:t>Key Findings</w:t>
      </w:r>
    </w:p>
    <w:p w14:paraId="361EDD10" w14:textId="77777777" w:rsidR="001C4C7F" w:rsidRPr="001C4C7F" w:rsidRDefault="001C4C7F" w:rsidP="001C4C7F">
      <w:pPr>
        <w:spacing w:after="0" w:line="240" w:lineRule="auto"/>
        <w:rPr>
          <w:rFonts w:asciiTheme="majorHAnsi" w:hAnsiTheme="majorHAnsi"/>
          <w:sz w:val="28"/>
          <w:szCs w:val="28"/>
        </w:rPr>
      </w:pPr>
    </w:p>
    <w:p w14:paraId="59138AF9"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Division of </w:t>
      </w:r>
      <w:proofErr w:type="spellStart"/>
      <w:r w:rsidRPr="001C4C7F">
        <w:rPr>
          <w:rFonts w:asciiTheme="majorHAnsi" w:hAnsiTheme="majorHAnsi"/>
          <w:sz w:val="28"/>
          <w:szCs w:val="28"/>
        </w:rPr>
        <w:t>labour</w:t>
      </w:r>
      <w:proofErr w:type="spellEnd"/>
      <w:r w:rsidRPr="001C4C7F">
        <w:rPr>
          <w:rFonts w:asciiTheme="majorHAnsi" w:hAnsiTheme="majorHAnsi"/>
          <w:sz w:val="28"/>
          <w:szCs w:val="28"/>
        </w:rPr>
        <w:t>: Mothers overwhelmingly responsible for housework and childcare in both countries; little variation by child sex. More equal division among highly educated families.</w:t>
      </w:r>
    </w:p>
    <w:p w14:paraId="5DC769F7" w14:textId="77777777" w:rsidR="001C4C7F" w:rsidRPr="001C4C7F" w:rsidRDefault="001C4C7F" w:rsidP="001C4C7F">
      <w:pPr>
        <w:spacing w:after="0" w:line="240" w:lineRule="auto"/>
        <w:rPr>
          <w:rFonts w:asciiTheme="majorHAnsi" w:hAnsiTheme="majorHAnsi"/>
          <w:sz w:val="28"/>
          <w:szCs w:val="28"/>
        </w:rPr>
      </w:pPr>
    </w:p>
    <w:p w14:paraId="46391E11"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Expectations &amp; attitudes: Some gendered differences (e.g., parents of boys in France emphasize social success and jobs; parents of girls emphasize love life and fairness). Differences by education stronger than by child sex.</w:t>
      </w:r>
    </w:p>
    <w:p w14:paraId="18435D40" w14:textId="77777777" w:rsidR="001C4C7F" w:rsidRPr="001C4C7F" w:rsidRDefault="001C4C7F" w:rsidP="001C4C7F">
      <w:pPr>
        <w:spacing w:after="0" w:line="240" w:lineRule="auto"/>
        <w:rPr>
          <w:rFonts w:asciiTheme="majorHAnsi" w:hAnsiTheme="majorHAnsi"/>
          <w:sz w:val="28"/>
          <w:szCs w:val="28"/>
        </w:rPr>
      </w:pPr>
    </w:p>
    <w:p w14:paraId="6B5D2961"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Children’s access to resources: Girls more often involved in artistic/literacy activities; boys more in physical play. In France, extracurricular gaps by gender are larger in higher-education families; in the UK, gender gaps are largest in low-education families.</w:t>
      </w:r>
    </w:p>
    <w:p w14:paraId="700952DD" w14:textId="77777777" w:rsidR="001C4C7F" w:rsidRPr="001C4C7F" w:rsidRDefault="001C4C7F" w:rsidP="001C4C7F">
      <w:pPr>
        <w:spacing w:after="0" w:line="240" w:lineRule="auto"/>
        <w:rPr>
          <w:rFonts w:asciiTheme="majorHAnsi" w:hAnsiTheme="majorHAnsi"/>
          <w:sz w:val="28"/>
          <w:szCs w:val="28"/>
        </w:rPr>
      </w:pPr>
    </w:p>
    <w:p w14:paraId="30BCE664"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Cross-country note: UK mothers more often responsible for household/child tasks than French mothers, consistent with institutional contexts (childcare, female employment).</w:t>
      </w:r>
    </w:p>
    <w:p w14:paraId="59DF58C7" w14:textId="77777777" w:rsidR="001C4C7F" w:rsidRPr="001C4C7F" w:rsidRDefault="001C4C7F" w:rsidP="001C4C7F">
      <w:pPr>
        <w:spacing w:after="0" w:line="240" w:lineRule="auto"/>
        <w:rPr>
          <w:rFonts w:asciiTheme="majorHAnsi" w:hAnsiTheme="majorHAnsi"/>
          <w:sz w:val="28"/>
          <w:szCs w:val="28"/>
        </w:rPr>
      </w:pPr>
    </w:p>
    <w:p w14:paraId="685DAAF3"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Overall: Parenting is both gendered and stratified by social class, but gender gaps are surprisingly modest compared to class differences. Girls appear to have slightly more exposure to family resources than boys.</w:t>
      </w:r>
    </w:p>
    <w:p w14:paraId="6C741241" w14:textId="77777777" w:rsidR="001C4C7F" w:rsidRPr="001C4C7F" w:rsidRDefault="001C4C7F" w:rsidP="001C4C7F">
      <w:pPr>
        <w:spacing w:after="0" w:line="240" w:lineRule="auto"/>
        <w:rPr>
          <w:rFonts w:asciiTheme="majorHAnsi" w:hAnsiTheme="majorHAnsi"/>
          <w:sz w:val="28"/>
          <w:szCs w:val="28"/>
        </w:rPr>
      </w:pPr>
    </w:p>
    <w:p w14:paraId="3BED299F" w14:textId="53142BBB" w:rsidR="001C4C7F" w:rsidRPr="006C5E06" w:rsidRDefault="001C4C7F" w:rsidP="001C4C7F">
      <w:pPr>
        <w:spacing w:after="0" w:line="240" w:lineRule="auto"/>
        <w:rPr>
          <w:rFonts w:asciiTheme="majorHAnsi" w:hAnsiTheme="majorHAnsi"/>
          <w:b/>
          <w:bCs/>
          <w:sz w:val="28"/>
          <w:szCs w:val="28"/>
        </w:rPr>
      </w:pPr>
      <w:r w:rsidRPr="006C5E06">
        <w:rPr>
          <w:rFonts w:asciiTheme="majorHAnsi" w:hAnsiTheme="majorHAnsi"/>
          <w:b/>
          <w:bCs/>
          <w:sz w:val="28"/>
          <w:szCs w:val="28"/>
        </w:rPr>
        <w:t>Critical Review</w:t>
      </w:r>
    </w:p>
    <w:p w14:paraId="146282B8" w14:textId="77777777" w:rsidR="001C4C7F" w:rsidRPr="001C4C7F" w:rsidRDefault="001C4C7F" w:rsidP="001C4C7F">
      <w:pPr>
        <w:spacing w:after="0" w:line="240" w:lineRule="auto"/>
        <w:rPr>
          <w:rFonts w:asciiTheme="majorHAnsi" w:hAnsiTheme="majorHAnsi"/>
          <w:sz w:val="28"/>
          <w:szCs w:val="28"/>
        </w:rPr>
      </w:pPr>
    </w:p>
    <w:p w14:paraId="223D8B09"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Strengths</w:t>
      </w:r>
    </w:p>
    <w:p w14:paraId="2E0BA8F8" w14:textId="77777777" w:rsidR="001C4C7F" w:rsidRPr="001C4C7F" w:rsidRDefault="001C4C7F" w:rsidP="001C4C7F">
      <w:pPr>
        <w:spacing w:after="0" w:line="240" w:lineRule="auto"/>
        <w:rPr>
          <w:rFonts w:asciiTheme="majorHAnsi" w:hAnsiTheme="majorHAnsi"/>
          <w:sz w:val="28"/>
          <w:szCs w:val="28"/>
        </w:rPr>
      </w:pPr>
    </w:p>
    <w:p w14:paraId="105DFDA0" w14:textId="77777777" w:rsidR="001C4C7F" w:rsidRPr="006C5E06" w:rsidRDefault="001C4C7F" w:rsidP="006C5E06">
      <w:pPr>
        <w:pStyle w:val="ListParagraph"/>
        <w:numPr>
          <w:ilvl w:val="0"/>
          <w:numId w:val="2"/>
        </w:numPr>
        <w:spacing w:after="0" w:line="240" w:lineRule="auto"/>
        <w:rPr>
          <w:rFonts w:asciiTheme="majorHAnsi" w:hAnsiTheme="majorHAnsi"/>
          <w:sz w:val="28"/>
          <w:szCs w:val="28"/>
        </w:rPr>
      </w:pPr>
      <w:r w:rsidRPr="006C5E06">
        <w:rPr>
          <w:rFonts w:asciiTheme="majorHAnsi" w:hAnsiTheme="majorHAnsi"/>
          <w:sz w:val="28"/>
          <w:szCs w:val="28"/>
        </w:rPr>
        <w:t>Uses two high-quality, large-scale, nationally representative cohort studies.</w:t>
      </w:r>
    </w:p>
    <w:p w14:paraId="00D79A34" w14:textId="77777777" w:rsidR="001C4C7F" w:rsidRPr="001C4C7F" w:rsidRDefault="001C4C7F" w:rsidP="001C4C7F">
      <w:pPr>
        <w:spacing w:after="0" w:line="240" w:lineRule="auto"/>
        <w:rPr>
          <w:rFonts w:asciiTheme="majorHAnsi" w:hAnsiTheme="majorHAnsi"/>
          <w:sz w:val="28"/>
          <w:szCs w:val="28"/>
        </w:rPr>
      </w:pPr>
    </w:p>
    <w:p w14:paraId="6A435D68" w14:textId="77777777" w:rsidR="001C4C7F" w:rsidRPr="006C5E06" w:rsidRDefault="001C4C7F" w:rsidP="006C5E06">
      <w:pPr>
        <w:pStyle w:val="ListParagraph"/>
        <w:numPr>
          <w:ilvl w:val="0"/>
          <w:numId w:val="2"/>
        </w:numPr>
        <w:spacing w:after="0" w:line="240" w:lineRule="auto"/>
        <w:rPr>
          <w:rFonts w:asciiTheme="majorHAnsi" w:hAnsiTheme="majorHAnsi"/>
          <w:sz w:val="28"/>
          <w:szCs w:val="28"/>
        </w:rPr>
      </w:pPr>
      <w:r w:rsidRPr="006C5E06">
        <w:rPr>
          <w:rFonts w:asciiTheme="majorHAnsi" w:hAnsiTheme="majorHAnsi"/>
          <w:sz w:val="28"/>
          <w:szCs w:val="28"/>
        </w:rPr>
        <w:t>Clear conceptualization of three parenting dimensions.</w:t>
      </w:r>
    </w:p>
    <w:p w14:paraId="3563588B" w14:textId="77777777" w:rsidR="001C4C7F" w:rsidRPr="001C4C7F" w:rsidRDefault="001C4C7F" w:rsidP="001C4C7F">
      <w:pPr>
        <w:spacing w:after="0" w:line="240" w:lineRule="auto"/>
        <w:rPr>
          <w:rFonts w:asciiTheme="majorHAnsi" w:hAnsiTheme="majorHAnsi"/>
          <w:sz w:val="28"/>
          <w:szCs w:val="28"/>
        </w:rPr>
      </w:pPr>
    </w:p>
    <w:p w14:paraId="3F4891CE" w14:textId="77777777" w:rsidR="001C4C7F" w:rsidRPr="006C5E06" w:rsidRDefault="001C4C7F" w:rsidP="006C5E06">
      <w:pPr>
        <w:pStyle w:val="ListParagraph"/>
        <w:numPr>
          <w:ilvl w:val="0"/>
          <w:numId w:val="2"/>
        </w:numPr>
        <w:spacing w:after="0" w:line="240" w:lineRule="auto"/>
        <w:rPr>
          <w:rFonts w:asciiTheme="majorHAnsi" w:hAnsiTheme="majorHAnsi"/>
          <w:sz w:val="28"/>
          <w:szCs w:val="28"/>
        </w:rPr>
      </w:pPr>
      <w:r w:rsidRPr="006C5E06">
        <w:rPr>
          <w:rFonts w:asciiTheme="majorHAnsi" w:hAnsiTheme="majorHAnsi"/>
          <w:sz w:val="28"/>
          <w:szCs w:val="28"/>
        </w:rPr>
        <w:t>Novelty: systematically documents both gender and class differences in early childhood parenting across two institutional contexts.</w:t>
      </w:r>
    </w:p>
    <w:p w14:paraId="5E0E6659" w14:textId="77777777" w:rsidR="001C4C7F" w:rsidRPr="001C4C7F" w:rsidRDefault="001C4C7F" w:rsidP="001C4C7F">
      <w:pPr>
        <w:spacing w:after="0" w:line="240" w:lineRule="auto"/>
        <w:rPr>
          <w:rFonts w:asciiTheme="majorHAnsi" w:hAnsiTheme="majorHAnsi"/>
          <w:sz w:val="28"/>
          <w:szCs w:val="28"/>
        </w:rPr>
      </w:pPr>
    </w:p>
    <w:p w14:paraId="69794E5A" w14:textId="77777777" w:rsidR="001C4C7F" w:rsidRPr="006C5E06" w:rsidRDefault="001C4C7F" w:rsidP="006C5E06">
      <w:pPr>
        <w:pStyle w:val="ListParagraph"/>
        <w:numPr>
          <w:ilvl w:val="0"/>
          <w:numId w:val="2"/>
        </w:numPr>
        <w:spacing w:after="0" w:line="240" w:lineRule="auto"/>
        <w:rPr>
          <w:rFonts w:asciiTheme="majorHAnsi" w:hAnsiTheme="majorHAnsi"/>
          <w:sz w:val="28"/>
          <w:szCs w:val="28"/>
        </w:rPr>
      </w:pPr>
      <w:r w:rsidRPr="006C5E06">
        <w:rPr>
          <w:rFonts w:asciiTheme="majorHAnsi" w:hAnsiTheme="majorHAnsi"/>
          <w:sz w:val="28"/>
          <w:szCs w:val="28"/>
        </w:rPr>
        <w:t>Transparent discussion of comparability limitations and attrition.</w:t>
      </w:r>
    </w:p>
    <w:p w14:paraId="6DBFD3B8" w14:textId="77777777" w:rsidR="001C4C7F" w:rsidRPr="001C4C7F" w:rsidRDefault="001C4C7F" w:rsidP="001C4C7F">
      <w:pPr>
        <w:spacing w:after="0" w:line="240" w:lineRule="auto"/>
        <w:rPr>
          <w:rFonts w:asciiTheme="majorHAnsi" w:hAnsiTheme="majorHAnsi"/>
          <w:sz w:val="28"/>
          <w:szCs w:val="28"/>
        </w:rPr>
      </w:pPr>
    </w:p>
    <w:p w14:paraId="732A31CD"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Limitations / Critiques</w:t>
      </w:r>
    </w:p>
    <w:p w14:paraId="34C57E55" w14:textId="77777777" w:rsidR="001C4C7F" w:rsidRPr="001C4C7F" w:rsidRDefault="001C4C7F" w:rsidP="001C4C7F">
      <w:pPr>
        <w:spacing w:after="0" w:line="240" w:lineRule="auto"/>
        <w:rPr>
          <w:rFonts w:asciiTheme="majorHAnsi" w:hAnsiTheme="majorHAnsi"/>
          <w:sz w:val="28"/>
          <w:szCs w:val="28"/>
        </w:rPr>
      </w:pPr>
    </w:p>
    <w:p w14:paraId="178C5C45"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 xml:space="preserve">Measurement comparability: The operationalization of expectations, activities, and division of </w:t>
      </w:r>
      <w:proofErr w:type="spellStart"/>
      <w:r w:rsidRPr="006C5E06">
        <w:rPr>
          <w:rFonts w:asciiTheme="majorHAnsi" w:hAnsiTheme="majorHAnsi"/>
          <w:sz w:val="28"/>
          <w:szCs w:val="28"/>
        </w:rPr>
        <w:t>labour</w:t>
      </w:r>
      <w:proofErr w:type="spellEnd"/>
      <w:r w:rsidRPr="006C5E06">
        <w:rPr>
          <w:rFonts w:asciiTheme="majorHAnsi" w:hAnsiTheme="majorHAnsi"/>
          <w:sz w:val="28"/>
          <w:szCs w:val="28"/>
        </w:rPr>
        <w:t xml:space="preserve"> differs substantially across datasets (e.g., ranked wishes in </w:t>
      </w:r>
      <w:proofErr w:type="spellStart"/>
      <w:r w:rsidRPr="006C5E06">
        <w:rPr>
          <w:rFonts w:asciiTheme="majorHAnsi" w:hAnsiTheme="majorHAnsi"/>
          <w:sz w:val="28"/>
          <w:szCs w:val="28"/>
        </w:rPr>
        <w:t>Elfe</w:t>
      </w:r>
      <w:proofErr w:type="spellEnd"/>
      <w:r w:rsidRPr="006C5E06">
        <w:rPr>
          <w:rFonts w:asciiTheme="majorHAnsi" w:hAnsiTheme="majorHAnsi"/>
          <w:sz w:val="28"/>
          <w:szCs w:val="28"/>
        </w:rPr>
        <w:t xml:space="preserve"> vs. binary “yes/no” in MCS). This weakens cross-country comparisons.</w:t>
      </w:r>
    </w:p>
    <w:p w14:paraId="7EBC914A" w14:textId="77777777" w:rsidR="001C4C7F" w:rsidRPr="001C4C7F" w:rsidRDefault="001C4C7F" w:rsidP="001C4C7F">
      <w:pPr>
        <w:spacing w:after="0" w:line="240" w:lineRule="auto"/>
        <w:rPr>
          <w:rFonts w:asciiTheme="majorHAnsi" w:hAnsiTheme="majorHAnsi"/>
          <w:sz w:val="28"/>
          <w:szCs w:val="28"/>
        </w:rPr>
      </w:pPr>
    </w:p>
    <w:p w14:paraId="231EB600"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Father’s role: Analyses largely rely on mothers’ reports; limits insights into fathers’ perspectives and father–child interactions.</w:t>
      </w:r>
    </w:p>
    <w:p w14:paraId="6C38EA0D" w14:textId="77777777" w:rsidR="001C4C7F" w:rsidRPr="001C4C7F" w:rsidRDefault="001C4C7F" w:rsidP="001C4C7F">
      <w:pPr>
        <w:spacing w:after="0" w:line="240" w:lineRule="auto"/>
        <w:rPr>
          <w:rFonts w:asciiTheme="majorHAnsi" w:hAnsiTheme="majorHAnsi"/>
          <w:sz w:val="28"/>
          <w:szCs w:val="28"/>
        </w:rPr>
      </w:pPr>
    </w:p>
    <w:p w14:paraId="5E77DC92"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Causal interpretation: Results are descriptive associations; the discussion sometimes implies mechanisms (e.g., “same-sex dyads”) without testing them.</w:t>
      </w:r>
    </w:p>
    <w:p w14:paraId="3755C3F3" w14:textId="77777777" w:rsidR="001C4C7F" w:rsidRPr="001C4C7F" w:rsidRDefault="001C4C7F" w:rsidP="001C4C7F">
      <w:pPr>
        <w:spacing w:after="0" w:line="240" w:lineRule="auto"/>
        <w:rPr>
          <w:rFonts w:asciiTheme="majorHAnsi" w:hAnsiTheme="majorHAnsi"/>
          <w:sz w:val="28"/>
          <w:szCs w:val="28"/>
        </w:rPr>
      </w:pPr>
    </w:p>
    <w:p w14:paraId="704B253B"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Scope of class measure: Mother’s education is a reasonable proxy, but social class is broader (income, occupation, cultural capital). The thesis would benefit from sensitivity checks.</w:t>
      </w:r>
    </w:p>
    <w:p w14:paraId="0DE02E1D" w14:textId="77777777" w:rsidR="001C4C7F" w:rsidRPr="001C4C7F" w:rsidRDefault="001C4C7F" w:rsidP="001C4C7F">
      <w:pPr>
        <w:spacing w:after="0" w:line="240" w:lineRule="auto"/>
        <w:rPr>
          <w:rFonts w:asciiTheme="majorHAnsi" w:hAnsiTheme="majorHAnsi"/>
          <w:sz w:val="28"/>
          <w:szCs w:val="28"/>
        </w:rPr>
      </w:pPr>
    </w:p>
    <w:p w14:paraId="6C55D4BE"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Theoretical depth: While “doing gender” and Lareau’s “concerted cultivation” vs. “natural growth” are invoked, engagement with mechanisms (e.g., how institutional contexts interact with family practices) could be deepened.</w:t>
      </w:r>
    </w:p>
    <w:p w14:paraId="33CF5E6E" w14:textId="77777777" w:rsidR="001C4C7F" w:rsidRPr="001C4C7F" w:rsidRDefault="001C4C7F" w:rsidP="001C4C7F">
      <w:pPr>
        <w:spacing w:after="0" w:line="240" w:lineRule="auto"/>
        <w:rPr>
          <w:rFonts w:asciiTheme="majorHAnsi" w:hAnsiTheme="majorHAnsi"/>
          <w:sz w:val="28"/>
          <w:szCs w:val="28"/>
        </w:rPr>
      </w:pPr>
    </w:p>
    <w:p w14:paraId="356680E5" w14:textId="77777777" w:rsidR="001C4C7F" w:rsidRPr="006C5E06" w:rsidRDefault="001C4C7F" w:rsidP="006C5E06">
      <w:pPr>
        <w:pStyle w:val="ListParagraph"/>
        <w:numPr>
          <w:ilvl w:val="0"/>
          <w:numId w:val="3"/>
        </w:numPr>
        <w:spacing w:after="0" w:line="240" w:lineRule="auto"/>
        <w:rPr>
          <w:rFonts w:asciiTheme="majorHAnsi" w:hAnsiTheme="majorHAnsi"/>
          <w:sz w:val="28"/>
          <w:szCs w:val="28"/>
        </w:rPr>
      </w:pPr>
      <w:r w:rsidRPr="006C5E06">
        <w:rPr>
          <w:rFonts w:asciiTheme="majorHAnsi" w:hAnsiTheme="majorHAnsi"/>
          <w:sz w:val="28"/>
          <w:szCs w:val="28"/>
        </w:rPr>
        <w:t>Findings on girls’ advantage: The surprising result that girls get more access and exposure to family resources deserves a stronger theoretical explanation. Could this be survey artefacts, mother-report bias, or genuine shifts in gender socialization?</w:t>
      </w:r>
    </w:p>
    <w:p w14:paraId="3E842DC0" w14:textId="77777777" w:rsidR="006C5E06" w:rsidRDefault="006C5E06" w:rsidP="001C4C7F">
      <w:pPr>
        <w:spacing w:after="0" w:line="240" w:lineRule="auto"/>
        <w:rPr>
          <w:rFonts w:asciiTheme="majorHAnsi" w:hAnsiTheme="majorHAnsi"/>
          <w:sz w:val="28"/>
          <w:szCs w:val="28"/>
        </w:rPr>
      </w:pPr>
    </w:p>
    <w:p w14:paraId="16593A66" w14:textId="0E11089D" w:rsidR="001C4C7F" w:rsidRPr="006C5E06" w:rsidRDefault="001C4C7F" w:rsidP="001C4C7F">
      <w:pPr>
        <w:spacing w:after="0" w:line="240" w:lineRule="auto"/>
        <w:rPr>
          <w:rFonts w:asciiTheme="majorHAnsi" w:hAnsiTheme="majorHAnsi"/>
          <w:b/>
          <w:bCs/>
          <w:sz w:val="28"/>
          <w:szCs w:val="28"/>
        </w:rPr>
      </w:pPr>
      <w:r w:rsidRPr="006C5E06">
        <w:rPr>
          <w:rFonts w:asciiTheme="majorHAnsi" w:hAnsiTheme="majorHAnsi"/>
          <w:b/>
          <w:bCs/>
          <w:sz w:val="28"/>
          <w:szCs w:val="28"/>
        </w:rPr>
        <w:t xml:space="preserve"> Potential Defense Questions</w:t>
      </w:r>
    </w:p>
    <w:p w14:paraId="78221C64" w14:textId="77777777" w:rsidR="001C4C7F" w:rsidRPr="001C4C7F" w:rsidRDefault="001C4C7F" w:rsidP="001C4C7F">
      <w:pPr>
        <w:spacing w:after="0" w:line="240" w:lineRule="auto"/>
        <w:rPr>
          <w:rFonts w:asciiTheme="majorHAnsi" w:hAnsiTheme="majorHAnsi"/>
          <w:sz w:val="28"/>
          <w:szCs w:val="28"/>
        </w:rPr>
      </w:pPr>
    </w:p>
    <w:p w14:paraId="4FA81127"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Conceptual / Theoretical</w:t>
      </w:r>
    </w:p>
    <w:p w14:paraId="7DA6E380" w14:textId="77777777" w:rsidR="001C4C7F" w:rsidRPr="001C4C7F" w:rsidRDefault="001C4C7F" w:rsidP="001C4C7F">
      <w:pPr>
        <w:spacing w:after="0" w:line="240" w:lineRule="auto"/>
        <w:rPr>
          <w:rFonts w:asciiTheme="majorHAnsi" w:hAnsiTheme="majorHAnsi"/>
          <w:sz w:val="28"/>
          <w:szCs w:val="28"/>
        </w:rPr>
      </w:pPr>
    </w:p>
    <w:p w14:paraId="067299A5"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Why did you choose “doing gender” as the main theoretical lens, and how does it help explain your findings compared to alternative frameworks (e.g., gendered investment theory, social learning)?</w:t>
      </w:r>
    </w:p>
    <w:p w14:paraId="757CF108" w14:textId="77777777" w:rsidR="001C4C7F" w:rsidRPr="001C4C7F" w:rsidRDefault="001C4C7F" w:rsidP="001C4C7F">
      <w:pPr>
        <w:spacing w:after="0" w:line="240" w:lineRule="auto"/>
        <w:rPr>
          <w:rFonts w:asciiTheme="majorHAnsi" w:hAnsiTheme="majorHAnsi"/>
          <w:sz w:val="28"/>
          <w:szCs w:val="28"/>
        </w:rPr>
      </w:pPr>
    </w:p>
    <w:p w14:paraId="5537B28C"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How do you reconcile the surprising finding that girls seem to receive more resources, given prior literature showing parental bias toward boys?</w:t>
      </w:r>
    </w:p>
    <w:p w14:paraId="54C97B67" w14:textId="77777777" w:rsidR="001C4C7F" w:rsidRPr="001C4C7F" w:rsidRDefault="001C4C7F" w:rsidP="001C4C7F">
      <w:pPr>
        <w:spacing w:after="0" w:line="240" w:lineRule="auto"/>
        <w:rPr>
          <w:rFonts w:asciiTheme="majorHAnsi" w:hAnsiTheme="majorHAnsi"/>
          <w:sz w:val="28"/>
          <w:szCs w:val="28"/>
        </w:rPr>
      </w:pPr>
    </w:p>
    <w:p w14:paraId="508FF064"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lastRenderedPageBreak/>
        <w:t>Data &amp; Measurement</w:t>
      </w:r>
    </w:p>
    <w:p w14:paraId="3D05FB3A" w14:textId="77777777" w:rsidR="001C4C7F" w:rsidRPr="001C4C7F" w:rsidRDefault="001C4C7F" w:rsidP="001C4C7F">
      <w:pPr>
        <w:spacing w:after="0" w:line="240" w:lineRule="auto"/>
        <w:rPr>
          <w:rFonts w:asciiTheme="majorHAnsi" w:hAnsiTheme="majorHAnsi"/>
          <w:sz w:val="28"/>
          <w:szCs w:val="28"/>
        </w:rPr>
      </w:pPr>
    </w:p>
    <w:p w14:paraId="2983C42D"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What are the implications of measuring “social class” only through mother’s education? Would results differ if you used income or occupation?</w:t>
      </w:r>
    </w:p>
    <w:p w14:paraId="3F09BF99" w14:textId="77777777" w:rsidR="001C4C7F" w:rsidRPr="001C4C7F" w:rsidRDefault="001C4C7F" w:rsidP="001C4C7F">
      <w:pPr>
        <w:spacing w:after="0" w:line="240" w:lineRule="auto"/>
        <w:rPr>
          <w:rFonts w:asciiTheme="majorHAnsi" w:hAnsiTheme="majorHAnsi"/>
          <w:sz w:val="28"/>
          <w:szCs w:val="28"/>
        </w:rPr>
      </w:pPr>
    </w:p>
    <w:p w14:paraId="740834D5"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Given that most parenting measures are reported by mothers, how might father-reported data change your results?</w:t>
      </w:r>
    </w:p>
    <w:p w14:paraId="79DFD0ED" w14:textId="77777777" w:rsidR="001C4C7F" w:rsidRPr="001C4C7F" w:rsidRDefault="001C4C7F" w:rsidP="001C4C7F">
      <w:pPr>
        <w:spacing w:after="0" w:line="240" w:lineRule="auto"/>
        <w:rPr>
          <w:rFonts w:asciiTheme="majorHAnsi" w:hAnsiTheme="majorHAnsi"/>
          <w:sz w:val="28"/>
          <w:szCs w:val="28"/>
        </w:rPr>
      </w:pPr>
    </w:p>
    <w:p w14:paraId="1A5F168D"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 xml:space="preserve">How comparable are the </w:t>
      </w:r>
      <w:proofErr w:type="spellStart"/>
      <w:r w:rsidRPr="001C4C7F">
        <w:rPr>
          <w:rFonts w:asciiTheme="majorHAnsi" w:hAnsiTheme="majorHAnsi"/>
          <w:sz w:val="28"/>
          <w:szCs w:val="28"/>
        </w:rPr>
        <w:t>Elfe</w:t>
      </w:r>
      <w:proofErr w:type="spellEnd"/>
      <w:r w:rsidRPr="001C4C7F">
        <w:rPr>
          <w:rFonts w:asciiTheme="majorHAnsi" w:hAnsiTheme="majorHAnsi"/>
          <w:sz w:val="28"/>
          <w:szCs w:val="28"/>
        </w:rPr>
        <w:t xml:space="preserve"> and MCS measures across the three parenting dimensions? To what extent can we draw cross-country conclusions?</w:t>
      </w:r>
    </w:p>
    <w:p w14:paraId="4CF0DBD7" w14:textId="77777777" w:rsidR="001C4C7F" w:rsidRPr="001C4C7F" w:rsidRDefault="001C4C7F" w:rsidP="001C4C7F">
      <w:pPr>
        <w:spacing w:after="0" w:line="240" w:lineRule="auto"/>
        <w:rPr>
          <w:rFonts w:asciiTheme="majorHAnsi" w:hAnsiTheme="majorHAnsi"/>
          <w:sz w:val="28"/>
          <w:szCs w:val="28"/>
        </w:rPr>
      </w:pPr>
    </w:p>
    <w:p w14:paraId="4F2E9EEC"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Methods</w:t>
      </w:r>
    </w:p>
    <w:p w14:paraId="4A939914" w14:textId="77777777" w:rsidR="001C4C7F" w:rsidRPr="001C4C7F" w:rsidRDefault="001C4C7F" w:rsidP="001C4C7F">
      <w:pPr>
        <w:spacing w:after="0" w:line="240" w:lineRule="auto"/>
        <w:rPr>
          <w:rFonts w:asciiTheme="majorHAnsi" w:hAnsiTheme="majorHAnsi"/>
          <w:sz w:val="28"/>
          <w:szCs w:val="28"/>
        </w:rPr>
      </w:pPr>
    </w:p>
    <w:p w14:paraId="1B6469D6"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Why did you choose linear probability models over logistic regression? What are the trade-offs, and do they affect your substantive conclusions?</w:t>
      </w:r>
    </w:p>
    <w:p w14:paraId="763CFAD9" w14:textId="77777777" w:rsidR="001C4C7F" w:rsidRPr="001C4C7F" w:rsidRDefault="001C4C7F" w:rsidP="001C4C7F">
      <w:pPr>
        <w:spacing w:after="0" w:line="240" w:lineRule="auto"/>
        <w:rPr>
          <w:rFonts w:asciiTheme="majorHAnsi" w:hAnsiTheme="majorHAnsi"/>
          <w:sz w:val="28"/>
          <w:szCs w:val="28"/>
        </w:rPr>
      </w:pPr>
    </w:p>
    <w:p w14:paraId="1C705B4F"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You mention using Bonferroni corrections. Did you consider the risk of over-correction and missing real effects?</w:t>
      </w:r>
    </w:p>
    <w:p w14:paraId="1D6B9E92" w14:textId="77777777" w:rsidR="001C4C7F" w:rsidRPr="001C4C7F" w:rsidRDefault="001C4C7F" w:rsidP="001C4C7F">
      <w:pPr>
        <w:spacing w:after="0" w:line="240" w:lineRule="auto"/>
        <w:rPr>
          <w:rFonts w:asciiTheme="majorHAnsi" w:hAnsiTheme="majorHAnsi"/>
          <w:sz w:val="28"/>
          <w:szCs w:val="28"/>
        </w:rPr>
      </w:pPr>
    </w:p>
    <w:p w14:paraId="44AF1BB5"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Findings</w:t>
      </w:r>
    </w:p>
    <w:p w14:paraId="0CC6D256" w14:textId="77777777" w:rsidR="001C4C7F" w:rsidRPr="001C4C7F" w:rsidRDefault="001C4C7F" w:rsidP="001C4C7F">
      <w:pPr>
        <w:spacing w:after="0" w:line="240" w:lineRule="auto"/>
        <w:rPr>
          <w:rFonts w:asciiTheme="majorHAnsi" w:hAnsiTheme="majorHAnsi"/>
          <w:sz w:val="28"/>
          <w:szCs w:val="28"/>
        </w:rPr>
      </w:pPr>
    </w:p>
    <w:p w14:paraId="427FF014"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In both countries, gender differences were weaker than class differences. What does this imply for policies aiming to reduce gender inequality through early childhood interventions?</w:t>
      </w:r>
    </w:p>
    <w:p w14:paraId="412A0A01" w14:textId="77777777" w:rsidR="001C4C7F" w:rsidRPr="001C4C7F" w:rsidRDefault="001C4C7F" w:rsidP="001C4C7F">
      <w:pPr>
        <w:spacing w:after="0" w:line="240" w:lineRule="auto"/>
        <w:rPr>
          <w:rFonts w:asciiTheme="majorHAnsi" w:hAnsiTheme="majorHAnsi"/>
          <w:sz w:val="28"/>
          <w:szCs w:val="28"/>
        </w:rPr>
      </w:pPr>
    </w:p>
    <w:p w14:paraId="04CEA0EF"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You found no strong evidence of interaction between gender and social class. How do you interpret this—do parents reproduce gender and class inequalities in parallel rather than in intersectional ways?</w:t>
      </w:r>
    </w:p>
    <w:p w14:paraId="060098C4" w14:textId="77777777" w:rsidR="001C4C7F" w:rsidRPr="001C4C7F" w:rsidRDefault="001C4C7F" w:rsidP="001C4C7F">
      <w:pPr>
        <w:spacing w:after="0" w:line="240" w:lineRule="auto"/>
        <w:rPr>
          <w:rFonts w:asciiTheme="majorHAnsi" w:hAnsiTheme="majorHAnsi"/>
          <w:sz w:val="28"/>
          <w:szCs w:val="28"/>
        </w:rPr>
      </w:pPr>
    </w:p>
    <w:p w14:paraId="5FF1438F"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Could the finding that UK mothers take on more domestic/childcare work than French mothers be partly due to part-time work arrangements?</w:t>
      </w:r>
    </w:p>
    <w:p w14:paraId="45B9B32B" w14:textId="77777777" w:rsidR="001C4C7F" w:rsidRPr="001C4C7F" w:rsidRDefault="001C4C7F" w:rsidP="001C4C7F">
      <w:pPr>
        <w:spacing w:after="0" w:line="240" w:lineRule="auto"/>
        <w:rPr>
          <w:rFonts w:asciiTheme="majorHAnsi" w:hAnsiTheme="majorHAnsi"/>
          <w:sz w:val="28"/>
          <w:szCs w:val="28"/>
        </w:rPr>
      </w:pPr>
    </w:p>
    <w:p w14:paraId="001B59E2"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Limitations / Future Work</w:t>
      </w:r>
    </w:p>
    <w:p w14:paraId="3453DDBD" w14:textId="77777777" w:rsidR="001C4C7F" w:rsidRPr="001C4C7F" w:rsidRDefault="001C4C7F" w:rsidP="001C4C7F">
      <w:pPr>
        <w:spacing w:after="0" w:line="240" w:lineRule="auto"/>
        <w:rPr>
          <w:rFonts w:asciiTheme="majorHAnsi" w:hAnsiTheme="majorHAnsi"/>
          <w:sz w:val="28"/>
          <w:szCs w:val="28"/>
        </w:rPr>
      </w:pPr>
    </w:p>
    <w:p w14:paraId="106E5CB4" w14:textId="77777777" w:rsidR="001C4C7F" w:rsidRP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t>What are the main blind spots of your study, and how would you design future research to address them?</w:t>
      </w:r>
    </w:p>
    <w:p w14:paraId="74E71A5D" w14:textId="77777777" w:rsidR="001C4C7F" w:rsidRPr="001C4C7F" w:rsidRDefault="001C4C7F" w:rsidP="001C4C7F">
      <w:pPr>
        <w:spacing w:after="0" w:line="240" w:lineRule="auto"/>
        <w:rPr>
          <w:rFonts w:asciiTheme="majorHAnsi" w:hAnsiTheme="majorHAnsi"/>
          <w:sz w:val="28"/>
          <w:szCs w:val="28"/>
        </w:rPr>
      </w:pPr>
    </w:p>
    <w:p w14:paraId="04033844" w14:textId="60EB4BBB" w:rsidR="001C4C7F" w:rsidRDefault="001C4C7F" w:rsidP="001C4C7F">
      <w:pPr>
        <w:spacing w:after="0" w:line="240" w:lineRule="auto"/>
        <w:rPr>
          <w:rFonts w:asciiTheme="majorHAnsi" w:hAnsiTheme="majorHAnsi"/>
          <w:sz w:val="28"/>
          <w:szCs w:val="28"/>
        </w:rPr>
      </w:pPr>
      <w:r w:rsidRPr="001C4C7F">
        <w:rPr>
          <w:rFonts w:asciiTheme="majorHAnsi" w:hAnsiTheme="majorHAnsi"/>
          <w:sz w:val="28"/>
          <w:szCs w:val="28"/>
        </w:rPr>
        <w:lastRenderedPageBreak/>
        <w:t>If you could redesign the data collection in these cohort studies, what would you add or change to better capture gendered parenting?</w:t>
      </w:r>
    </w:p>
    <w:p w14:paraId="00C58BFD" w14:textId="77777777" w:rsidR="00557AA8" w:rsidRDefault="00557AA8" w:rsidP="001C4C7F">
      <w:pPr>
        <w:spacing w:after="0" w:line="240" w:lineRule="auto"/>
        <w:rPr>
          <w:rFonts w:asciiTheme="majorHAnsi" w:hAnsiTheme="majorHAnsi"/>
          <w:sz w:val="28"/>
          <w:szCs w:val="28"/>
        </w:rPr>
      </w:pPr>
    </w:p>
    <w:p w14:paraId="296E7DA7" w14:textId="48F32E22" w:rsidR="00557AA8" w:rsidRDefault="00557AA8" w:rsidP="001C4C7F">
      <w:pPr>
        <w:spacing w:after="0" w:line="240" w:lineRule="auto"/>
        <w:rPr>
          <w:rFonts w:asciiTheme="majorHAnsi" w:hAnsiTheme="majorHAnsi"/>
          <w:b/>
          <w:bCs/>
          <w:i/>
          <w:iCs/>
          <w:sz w:val="28"/>
          <w:szCs w:val="28"/>
        </w:rPr>
      </w:pPr>
      <w:r w:rsidRPr="00557AA8">
        <w:rPr>
          <w:rFonts w:asciiTheme="majorHAnsi" w:hAnsiTheme="majorHAnsi"/>
          <w:b/>
          <w:bCs/>
          <w:i/>
          <w:iCs/>
          <w:sz w:val="28"/>
          <w:szCs w:val="28"/>
        </w:rPr>
        <w:t>Nathan’s comments</w:t>
      </w:r>
    </w:p>
    <w:p w14:paraId="3C6D1158" w14:textId="6417130E"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What do you think are the strongest findings? Expectations do not differ that much in their expectations</w:t>
      </w:r>
    </w:p>
    <w:p w14:paraId="7583B5B0" w14:textId="55270953"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Surprising that they are not that many differences</w:t>
      </w:r>
    </w:p>
    <w:p w14:paraId="1C634255" w14:textId="5B17B8BC"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 xml:space="preserve">Doing gender theory would </w:t>
      </w:r>
      <w:proofErr w:type="gramStart"/>
      <w:r>
        <w:rPr>
          <w:rFonts w:asciiTheme="majorHAnsi" w:hAnsiTheme="majorHAnsi"/>
          <w:sz w:val="28"/>
          <w:szCs w:val="28"/>
        </w:rPr>
        <w:t>led</w:t>
      </w:r>
      <w:proofErr w:type="gramEnd"/>
      <w:r>
        <w:rPr>
          <w:rFonts w:asciiTheme="majorHAnsi" w:hAnsiTheme="majorHAnsi"/>
          <w:sz w:val="28"/>
          <w:szCs w:val="28"/>
        </w:rPr>
        <w:t xml:space="preserve"> you expect that parents do different things at home </w:t>
      </w:r>
      <w:r w:rsidRPr="00557AA8">
        <w:rPr>
          <w:rFonts w:asciiTheme="majorHAnsi" w:hAnsiTheme="majorHAnsi"/>
          <w:sz w:val="28"/>
          <w:szCs w:val="28"/>
        </w:rPr>
        <w:sym w:font="Wingdings" w:char="F0E0"/>
      </w:r>
      <w:r>
        <w:rPr>
          <w:rFonts w:asciiTheme="majorHAnsi" w:hAnsiTheme="majorHAnsi"/>
          <w:sz w:val="28"/>
          <w:szCs w:val="28"/>
        </w:rPr>
        <w:t xml:space="preserve"> the child learns from that (role modeling)</w:t>
      </w:r>
    </w:p>
    <w:p w14:paraId="60A25E5B" w14:textId="16AD865A"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How do measure family structure (other than nuclear family)</w:t>
      </w:r>
      <w:r w:rsidRPr="00557AA8">
        <w:rPr>
          <w:rFonts w:asciiTheme="majorHAnsi" w:hAnsiTheme="majorHAnsi"/>
          <w:sz w:val="28"/>
          <w:szCs w:val="28"/>
        </w:rPr>
        <w:sym w:font="Wingdings" w:char="F0E0"/>
      </w:r>
      <w:r>
        <w:rPr>
          <w:rFonts w:asciiTheme="majorHAnsi" w:hAnsiTheme="majorHAnsi"/>
          <w:sz w:val="28"/>
          <w:szCs w:val="28"/>
        </w:rPr>
        <w:t xml:space="preserve"> how do you deal that sometimes there is no partner to eventually share chores</w:t>
      </w:r>
    </w:p>
    <w:p w14:paraId="3DC00EAE" w14:textId="74D1D033"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What would gender equality look like given the way it is measured…what is a “fair” threshold for egalitarian task division</w:t>
      </w:r>
    </w:p>
    <w:p w14:paraId="52804DEB" w14:textId="5F584829" w:rsidR="00557AA8" w:rsidRDefault="00557AA8"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Doing gender can be a good framework if you talk more about that we are doing gender because they are a) social scripts. b) rewards, and c) sanctions.</w:t>
      </w:r>
    </w:p>
    <w:p w14:paraId="39F3BD28" w14:textId="716D4F43" w:rsidR="00BA4CA7" w:rsidRDefault="00BA4CA7"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Is the larger investment into daughters a way to prepare/compensate for gendered discrimination “out there”</w:t>
      </w:r>
    </w:p>
    <w:p w14:paraId="0F5663F0" w14:textId="02133401" w:rsidR="00BA4CA7" w:rsidRDefault="00BA4CA7"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Be a bit more concise with what you measure and link it to the dimensions that are focused</w:t>
      </w:r>
    </w:p>
    <w:p w14:paraId="727727EA" w14:textId="2F38481F" w:rsidR="00BA4CA7" w:rsidRDefault="00BA4CA7"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Better structure of results needed</w:t>
      </w:r>
    </w:p>
    <w:p w14:paraId="5E3A492C" w14:textId="09E57716" w:rsidR="00BA4CA7" w:rsidRDefault="00BA4CA7" w:rsidP="00557AA8">
      <w:pPr>
        <w:pStyle w:val="ListParagraph"/>
        <w:numPr>
          <w:ilvl w:val="0"/>
          <w:numId w:val="4"/>
        </w:numPr>
        <w:spacing w:after="0" w:line="240" w:lineRule="auto"/>
        <w:rPr>
          <w:rFonts w:asciiTheme="majorHAnsi" w:hAnsiTheme="majorHAnsi"/>
          <w:sz w:val="28"/>
          <w:szCs w:val="28"/>
        </w:rPr>
      </w:pPr>
      <w:r>
        <w:rPr>
          <w:rFonts w:asciiTheme="majorHAnsi" w:hAnsiTheme="majorHAnsi"/>
          <w:sz w:val="28"/>
          <w:szCs w:val="28"/>
        </w:rPr>
        <w:t>What is the time dimension (this is hard to follow throughout the thesis)</w:t>
      </w:r>
    </w:p>
    <w:p w14:paraId="332D7894" w14:textId="77777777" w:rsidR="00BA4CA7" w:rsidRDefault="00BA4CA7" w:rsidP="00BA4CA7">
      <w:pPr>
        <w:spacing w:after="0" w:line="240" w:lineRule="auto"/>
        <w:rPr>
          <w:rFonts w:asciiTheme="majorHAnsi" w:hAnsiTheme="majorHAnsi"/>
          <w:sz w:val="28"/>
          <w:szCs w:val="28"/>
        </w:rPr>
      </w:pPr>
    </w:p>
    <w:p w14:paraId="7189369C" w14:textId="77777777" w:rsidR="00BA4CA7" w:rsidRDefault="00BA4CA7" w:rsidP="00BA4CA7">
      <w:pPr>
        <w:spacing w:after="0" w:line="240" w:lineRule="auto"/>
        <w:rPr>
          <w:rFonts w:asciiTheme="majorHAnsi" w:hAnsiTheme="majorHAnsi"/>
          <w:sz w:val="28"/>
          <w:szCs w:val="28"/>
        </w:rPr>
      </w:pPr>
    </w:p>
    <w:p w14:paraId="45E229DF" w14:textId="72779B2E" w:rsidR="00BA4CA7" w:rsidRDefault="00BA4CA7" w:rsidP="00BA4CA7">
      <w:pPr>
        <w:spacing w:after="0" w:line="240" w:lineRule="auto"/>
        <w:rPr>
          <w:rFonts w:asciiTheme="majorHAnsi" w:hAnsiTheme="majorHAnsi"/>
          <w:sz w:val="28"/>
          <w:szCs w:val="28"/>
        </w:rPr>
      </w:pPr>
      <w:r>
        <w:rPr>
          <w:rFonts w:asciiTheme="majorHAnsi" w:hAnsiTheme="majorHAnsi"/>
          <w:sz w:val="28"/>
          <w:szCs w:val="28"/>
        </w:rPr>
        <w:t>Alex: how far can I go with interpretation</w:t>
      </w:r>
    </w:p>
    <w:p w14:paraId="76C4737B" w14:textId="77777777" w:rsidR="00BA4CA7" w:rsidRPr="00BA4CA7" w:rsidRDefault="00BA4CA7" w:rsidP="00BA4CA7">
      <w:pPr>
        <w:spacing w:after="0" w:line="240" w:lineRule="auto"/>
        <w:rPr>
          <w:rFonts w:asciiTheme="majorHAnsi" w:hAnsiTheme="majorHAnsi"/>
          <w:sz w:val="28"/>
          <w:szCs w:val="28"/>
        </w:rPr>
      </w:pPr>
    </w:p>
    <w:sectPr w:rsidR="00BA4CA7" w:rsidRPr="00BA4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7129E"/>
    <w:multiLevelType w:val="hybridMultilevel"/>
    <w:tmpl w:val="CCA2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323EB9"/>
    <w:multiLevelType w:val="hybridMultilevel"/>
    <w:tmpl w:val="DBB4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C31C9"/>
    <w:multiLevelType w:val="hybridMultilevel"/>
    <w:tmpl w:val="442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E1A4C"/>
    <w:multiLevelType w:val="hybridMultilevel"/>
    <w:tmpl w:val="F684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740148">
    <w:abstractNumId w:val="1"/>
  </w:num>
  <w:num w:numId="2" w16cid:durableId="1832871216">
    <w:abstractNumId w:val="0"/>
  </w:num>
  <w:num w:numId="3" w16cid:durableId="667366551">
    <w:abstractNumId w:val="2"/>
  </w:num>
  <w:num w:numId="4" w16cid:durableId="1327511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7F"/>
    <w:rsid w:val="000D0213"/>
    <w:rsid w:val="00191AC1"/>
    <w:rsid w:val="001C4C7F"/>
    <w:rsid w:val="003A5E0D"/>
    <w:rsid w:val="004A0953"/>
    <w:rsid w:val="00557AA8"/>
    <w:rsid w:val="00655BCB"/>
    <w:rsid w:val="006C5E06"/>
    <w:rsid w:val="00BA4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9679"/>
  <w15:chartTrackingRefBased/>
  <w15:docId w15:val="{0F5158B4-373C-413E-BE72-CFA4D6BC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C7F"/>
    <w:rPr>
      <w:rFonts w:eastAsiaTheme="majorEastAsia" w:cstheme="majorBidi"/>
      <w:color w:val="272727" w:themeColor="text1" w:themeTint="D8"/>
    </w:rPr>
  </w:style>
  <w:style w:type="paragraph" w:styleId="Title">
    <w:name w:val="Title"/>
    <w:basedOn w:val="Normal"/>
    <w:next w:val="Normal"/>
    <w:link w:val="TitleChar"/>
    <w:uiPriority w:val="10"/>
    <w:qFormat/>
    <w:rsid w:val="001C4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C7F"/>
    <w:pPr>
      <w:spacing w:before="160"/>
      <w:jc w:val="center"/>
    </w:pPr>
    <w:rPr>
      <w:i/>
      <w:iCs/>
      <w:color w:val="404040" w:themeColor="text1" w:themeTint="BF"/>
    </w:rPr>
  </w:style>
  <w:style w:type="character" w:customStyle="1" w:styleId="QuoteChar">
    <w:name w:val="Quote Char"/>
    <w:basedOn w:val="DefaultParagraphFont"/>
    <w:link w:val="Quote"/>
    <w:uiPriority w:val="29"/>
    <w:rsid w:val="001C4C7F"/>
    <w:rPr>
      <w:i/>
      <w:iCs/>
      <w:color w:val="404040" w:themeColor="text1" w:themeTint="BF"/>
    </w:rPr>
  </w:style>
  <w:style w:type="paragraph" w:styleId="ListParagraph">
    <w:name w:val="List Paragraph"/>
    <w:basedOn w:val="Normal"/>
    <w:uiPriority w:val="34"/>
    <w:qFormat/>
    <w:rsid w:val="001C4C7F"/>
    <w:pPr>
      <w:ind w:left="720"/>
      <w:contextualSpacing/>
    </w:pPr>
  </w:style>
  <w:style w:type="character" w:styleId="IntenseEmphasis">
    <w:name w:val="Intense Emphasis"/>
    <w:basedOn w:val="DefaultParagraphFont"/>
    <w:uiPriority w:val="21"/>
    <w:qFormat/>
    <w:rsid w:val="001C4C7F"/>
    <w:rPr>
      <w:i/>
      <w:iCs/>
      <w:color w:val="0F4761" w:themeColor="accent1" w:themeShade="BF"/>
    </w:rPr>
  </w:style>
  <w:style w:type="paragraph" w:styleId="IntenseQuote">
    <w:name w:val="Intense Quote"/>
    <w:basedOn w:val="Normal"/>
    <w:next w:val="Normal"/>
    <w:link w:val="IntenseQuoteChar"/>
    <w:uiPriority w:val="30"/>
    <w:qFormat/>
    <w:rsid w:val="001C4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C7F"/>
    <w:rPr>
      <w:i/>
      <w:iCs/>
      <w:color w:val="0F4761" w:themeColor="accent1" w:themeShade="BF"/>
    </w:rPr>
  </w:style>
  <w:style w:type="character" w:styleId="IntenseReference">
    <w:name w:val="Intense Reference"/>
    <w:basedOn w:val="DefaultParagraphFont"/>
    <w:uiPriority w:val="32"/>
    <w:qFormat/>
    <w:rsid w:val="001C4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MPI for Demographic Research</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Hiekel, Nicole</dc:creator>
  <cp:keywords/>
  <dc:description/>
  <cp:lastModifiedBy>Hiekel, Nicole</cp:lastModifiedBy>
  <cp:revision>2</cp:revision>
  <dcterms:created xsi:type="dcterms:W3CDTF">2025-09-19T12:48:00Z</dcterms:created>
  <dcterms:modified xsi:type="dcterms:W3CDTF">2025-09-22T11:41:00Z</dcterms:modified>
</cp:coreProperties>
</file>