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E20B4" w14:textId="77777777" w:rsidR="009C772F" w:rsidRPr="009C772F" w:rsidRDefault="009C772F" w:rsidP="009C772F">
      <w:r w:rsidRPr="009C772F">
        <w:t>Implementar en main-v35.py</w:t>
      </w:r>
    </w:p>
    <w:p w14:paraId="1A195D94" w14:textId="77777777" w:rsidR="009C772F" w:rsidRPr="009C772F" w:rsidRDefault="009C772F" w:rsidP="009C772F"/>
    <w:p w14:paraId="5A27B57B" w14:textId="77777777" w:rsidR="009C772F" w:rsidRPr="009C772F" w:rsidRDefault="009C772F" w:rsidP="009C772F">
      <w:r w:rsidRPr="009C772F">
        <w:t xml:space="preserve">--&gt; Navegar por los </w:t>
      </w:r>
      <w:proofErr w:type="spellStart"/>
      <w:r w:rsidRPr="009C772F">
        <w:t>titulos</w:t>
      </w:r>
      <w:proofErr w:type="spellEnd"/>
      <w:r w:rsidRPr="009C772F">
        <w:t xml:space="preserve"> de </w:t>
      </w:r>
      <w:proofErr w:type="spellStart"/>
      <w:r w:rsidRPr="009C772F">
        <w:t>prompt</w:t>
      </w:r>
      <w:proofErr w:type="spellEnd"/>
      <w:r w:rsidRPr="009C772F">
        <w:t xml:space="preserve"> con las teclas </w:t>
      </w:r>
      <w:r w:rsidRPr="009C772F">
        <w:rPr>
          <w:rFonts w:ascii="Arial" w:hAnsi="Arial" w:cs="Arial"/>
        </w:rPr>
        <w:t>▲▼</w:t>
      </w:r>
      <w:r w:rsidRPr="009C772F">
        <w:rPr>
          <w:rFonts w:ascii="Aptos" w:hAnsi="Aptos" w:cs="Aptos"/>
        </w:rPr>
        <w:t> </w:t>
      </w:r>
    </w:p>
    <w:p w14:paraId="406A0ACC" w14:textId="77777777" w:rsidR="009C772F" w:rsidRPr="009C772F" w:rsidRDefault="009C772F" w:rsidP="009C772F">
      <w:r w:rsidRPr="009C772F">
        <w:t xml:space="preserve">--&gt; </w:t>
      </w:r>
      <w:proofErr w:type="spellStart"/>
      <w:r w:rsidRPr="009C772F">
        <w:t>Enter</w:t>
      </w:r>
      <w:proofErr w:type="spellEnd"/>
      <w:r w:rsidRPr="009C772F">
        <w:t xml:space="preserve"> </w:t>
      </w:r>
      <w:proofErr w:type="spellStart"/>
      <w:r w:rsidRPr="009C772F">
        <w:t>or</w:t>
      </w:r>
      <w:proofErr w:type="spellEnd"/>
      <w:r w:rsidRPr="009C772F">
        <w:t xml:space="preserve"> </w:t>
      </w:r>
      <w:proofErr w:type="spellStart"/>
      <w:r w:rsidRPr="009C772F">
        <w:t>double-click</w:t>
      </w:r>
      <w:proofErr w:type="spellEnd"/>
      <w:r w:rsidRPr="009C772F">
        <w:t xml:space="preserve"> (</w:t>
      </w:r>
      <w:proofErr w:type="spellStart"/>
      <w:r w:rsidRPr="009C772F">
        <w:t>double-click</w:t>
      </w:r>
      <w:proofErr w:type="spellEnd"/>
      <w:r w:rsidRPr="009C772F">
        <w:t xml:space="preserve"> ya </w:t>
      </w:r>
      <w:proofErr w:type="spellStart"/>
      <w:r w:rsidRPr="009C772F">
        <w:t>esta</w:t>
      </w:r>
      <w:proofErr w:type="spellEnd"/>
      <w:r w:rsidRPr="009C772F">
        <w:t xml:space="preserve"> implementado) para insertar </w:t>
      </w:r>
    </w:p>
    <w:p w14:paraId="3F2D0927" w14:textId="77777777" w:rsidR="009C772F" w:rsidRPr="009C772F" w:rsidRDefault="009C772F" w:rsidP="009C772F">
      <w:r w:rsidRPr="009C772F">
        <w:t>--</w:t>
      </w:r>
      <w:proofErr w:type="gramStart"/>
      <w:r w:rsidRPr="009C772F">
        <w:t>&gt;  cuando</w:t>
      </w:r>
      <w:proofErr w:type="gramEnd"/>
      <w:r w:rsidRPr="009C772F">
        <w:t xml:space="preserve"> navegas de abajo a arriba por los </w:t>
      </w:r>
      <w:proofErr w:type="spellStart"/>
      <w:r w:rsidRPr="009C772F">
        <w:t>titulos</w:t>
      </w:r>
      <w:proofErr w:type="spellEnd"/>
      <w:r w:rsidRPr="009C772F">
        <w:t xml:space="preserve"> de </w:t>
      </w:r>
      <w:proofErr w:type="spellStart"/>
      <w:r w:rsidRPr="009C772F">
        <w:t>prompt</w:t>
      </w:r>
      <w:proofErr w:type="spellEnd"/>
      <w:r w:rsidRPr="009C772F">
        <w:t xml:space="preserve"> con el mouse </w:t>
      </w:r>
      <w:proofErr w:type="spellStart"/>
      <w:r w:rsidRPr="009C772F">
        <w:t>recien</w:t>
      </w:r>
      <w:proofErr w:type="spellEnd"/>
      <w:r w:rsidRPr="009C772F">
        <w:t xml:space="preserve"> cambia el </w:t>
      </w:r>
      <w:proofErr w:type="spellStart"/>
      <w:r w:rsidRPr="009C772F">
        <w:t>hover</w:t>
      </w:r>
      <w:proofErr w:type="spellEnd"/>
      <w:r w:rsidRPr="009C772F">
        <w:t xml:space="preserve"> del </w:t>
      </w:r>
      <w:proofErr w:type="spellStart"/>
      <w:r w:rsidRPr="009C772F">
        <w:t>baground</w:t>
      </w:r>
      <w:proofErr w:type="spellEnd"/>
      <w:r w:rsidRPr="009C772F">
        <w:t>  cuando estas en el medio  , </w:t>
      </w:r>
    </w:p>
    <w:p w14:paraId="3DC4FD3A" w14:textId="77777777" w:rsidR="009C772F" w:rsidRPr="009C772F" w:rsidRDefault="009C772F" w:rsidP="009C772F">
      <w:r w:rsidRPr="009C772F">
        <w:t xml:space="preserve">    pero cuando empezamos de arriba a abajo si cambie el color del </w:t>
      </w:r>
      <w:proofErr w:type="spellStart"/>
      <w:r w:rsidRPr="009C772F">
        <w:t>hover</w:t>
      </w:r>
      <w:proofErr w:type="spellEnd"/>
      <w:r w:rsidRPr="009C772F">
        <w:t xml:space="preserve"> del </w:t>
      </w:r>
      <w:proofErr w:type="spellStart"/>
      <w:r w:rsidRPr="009C772F">
        <w:t>baground</w:t>
      </w:r>
      <w:proofErr w:type="spellEnd"/>
      <w:r w:rsidRPr="009C772F">
        <w:t>  </w:t>
      </w:r>
    </w:p>
    <w:p w14:paraId="46619AF1" w14:textId="77777777" w:rsidR="00692522" w:rsidRDefault="00692522"/>
    <w:p w14:paraId="697B4A4C" w14:textId="77777777" w:rsidR="009C772F" w:rsidRPr="009C772F" w:rsidRDefault="009C772F" w:rsidP="009C772F">
      <w:r w:rsidRPr="009C772F">
        <w:t xml:space="preserve">De acuerdo con la norma de operación, he analizado los requerimientos planteados para los módulos de navegación por teclado y corrección de la experiencia visual de </w:t>
      </w:r>
      <w:proofErr w:type="spellStart"/>
      <w:r w:rsidRPr="009C772F">
        <w:t>hovers</w:t>
      </w:r>
      <w:proofErr w:type="spellEnd"/>
      <w:r w:rsidRPr="009C772F">
        <w:t>.</w:t>
      </w:r>
    </w:p>
    <w:p w14:paraId="39DE28BD" w14:textId="77777777" w:rsidR="009C772F" w:rsidRPr="009C772F" w:rsidRDefault="009C772F" w:rsidP="009C772F">
      <w:r w:rsidRPr="009C772F">
        <w:t>Antes de proceder a escribir el código, presento el análisis y el plan de acción para su validación de acuerdo con nuestro flujo obligatorio.</w:t>
      </w:r>
    </w:p>
    <w:p w14:paraId="1ACDC06A" w14:textId="77777777" w:rsidR="009C772F" w:rsidRPr="009C772F" w:rsidRDefault="009C772F" w:rsidP="009C772F">
      <w:pPr>
        <w:rPr>
          <w:b/>
          <w:bCs/>
        </w:rPr>
      </w:pPr>
      <w:r w:rsidRPr="009C772F">
        <w:rPr>
          <w:b/>
          <w:bCs/>
        </w:rPr>
        <w:t>1. Análisis (Preguntas de validación)</w:t>
      </w:r>
    </w:p>
    <w:p w14:paraId="625B6F9B" w14:textId="77777777" w:rsidR="009C772F" w:rsidRPr="009C772F" w:rsidRDefault="009C772F" w:rsidP="009C772F">
      <w:r w:rsidRPr="009C772F">
        <w:t>Para asegurar el control absoluto del comportamiento deseado, por favor confíame la respuesta a estas breves preguntas:</w:t>
      </w:r>
    </w:p>
    <w:p w14:paraId="68D589FD" w14:textId="77777777" w:rsidR="009C772F" w:rsidRPr="009C772F" w:rsidRDefault="009C772F" w:rsidP="009C772F">
      <w:pPr>
        <w:numPr>
          <w:ilvl w:val="0"/>
          <w:numId w:val="1"/>
        </w:numPr>
      </w:pPr>
      <w:r w:rsidRPr="009C772F">
        <w:rPr>
          <w:b/>
          <w:bCs/>
        </w:rPr>
        <w:t>Comportamiento del foco inicial:</w:t>
      </w:r>
      <w:r w:rsidRPr="009C772F">
        <w:t xml:space="preserve"> Cuando el usuario presione las flechas </w:t>
      </w:r>
      <w:r w:rsidRPr="009C772F">
        <w:rPr>
          <w:rFonts w:ascii="Arial" w:hAnsi="Arial" w:cs="Arial"/>
        </w:rPr>
        <w:t>▲</w:t>
      </w:r>
      <w:r w:rsidRPr="009C772F">
        <w:t xml:space="preserve"> o </w:t>
      </w:r>
      <w:r w:rsidRPr="009C772F">
        <w:rPr>
          <w:rFonts w:ascii="Arial" w:hAnsi="Arial" w:cs="Arial"/>
        </w:rPr>
        <w:t>▼</w:t>
      </w:r>
      <w:r w:rsidRPr="009C772F">
        <w:t xml:space="preserve"> por primera vez estando en el buscador (</w:t>
      </w:r>
      <w:proofErr w:type="spellStart"/>
      <w:r w:rsidRPr="009C772F">
        <w:t>txt_buscar</w:t>
      </w:r>
      <w:proofErr w:type="spellEnd"/>
      <w:r w:rsidRPr="009C772F">
        <w:t>), ¿deseas que el foco del teclado se transfiera automáticamente a la lista y se seleccione el primer (o último) elemento de la lista?</w:t>
      </w:r>
    </w:p>
    <w:p w14:paraId="631B9257" w14:textId="77777777" w:rsidR="009C772F" w:rsidRPr="009C772F" w:rsidRDefault="009C772F" w:rsidP="009C772F">
      <w:pPr>
        <w:numPr>
          <w:ilvl w:val="0"/>
          <w:numId w:val="1"/>
        </w:numPr>
      </w:pPr>
      <w:r w:rsidRPr="009C772F">
        <w:rPr>
          <w:b/>
          <w:bCs/>
        </w:rPr>
        <w:t xml:space="preserve">Reacción del </w:t>
      </w:r>
      <w:proofErr w:type="spellStart"/>
      <w:r w:rsidRPr="009C772F">
        <w:rPr>
          <w:b/>
          <w:bCs/>
        </w:rPr>
        <w:t>Scroll</w:t>
      </w:r>
      <w:proofErr w:type="spellEnd"/>
      <w:r w:rsidRPr="009C772F">
        <w:rPr>
          <w:b/>
          <w:bCs/>
        </w:rPr>
        <w:t xml:space="preserve"> automático:</w:t>
      </w:r>
      <w:r w:rsidRPr="009C772F">
        <w:t xml:space="preserve"> Al navegar con las flechas </w:t>
      </w:r>
      <w:r w:rsidRPr="009C772F">
        <w:rPr>
          <w:rFonts w:ascii="Arial" w:hAnsi="Arial" w:cs="Arial"/>
        </w:rPr>
        <w:t>▲▼</w:t>
      </w:r>
      <w:r w:rsidRPr="009C772F">
        <w:t xml:space="preserve"> por la lista de tarjetas, si la selecci</w:t>
      </w:r>
      <w:r w:rsidRPr="009C772F">
        <w:rPr>
          <w:rFonts w:ascii="Aptos" w:hAnsi="Aptos" w:cs="Aptos"/>
        </w:rPr>
        <w:t>ó</w:t>
      </w:r>
      <w:r w:rsidRPr="009C772F">
        <w:t xml:space="preserve">n excede el </w:t>
      </w:r>
      <w:r w:rsidRPr="009C772F">
        <w:rPr>
          <w:rFonts w:ascii="Aptos" w:hAnsi="Aptos" w:cs="Aptos"/>
        </w:rPr>
        <w:t>á</w:t>
      </w:r>
      <w:r w:rsidRPr="009C772F">
        <w:t xml:space="preserve">rea visible actual del contenedor deslizable, </w:t>
      </w:r>
      <w:r w:rsidRPr="009C772F">
        <w:rPr>
          <w:rFonts w:ascii="Aptos" w:hAnsi="Aptos" w:cs="Aptos"/>
        </w:rPr>
        <w:t>¿</w:t>
      </w:r>
      <w:r w:rsidRPr="009C772F">
        <w:t xml:space="preserve">el </w:t>
      </w:r>
      <w:proofErr w:type="spellStart"/>
      <w:r w:rsidRPr="009C772F">
        <w:t>scroll</w:t>
      </w:r>
      <w:proofErr w:type="spellEnd"/>
      <w:r w:rsidRPr="009C772F">
        <w:t xml:space="preserve"> de </w:t>
      </w:r>
      <w:proofErr w:type="spellStart"/>
      <w:r w:rsidRPr="009C772F">
        <w:t>CustomTkinter</w:t>
      </w:r>
      <w:proofErr w:type="spellEnd"/>
      <w:r w:rsidRPr="009C772F">
        <w:t xml:space="preserve"> debe desplazarse (</w:t>
      </w:r>
      <w:proofErr w:type="spellStart"/>
      <w:r w:rsidRPr="009C772F">
        <w:t>see</w:t>
      </w:r>
      <w:proofErr w:type="spellEnd"/>
      <w:r w:rsidRPr="009C772F">
        <w:t xml:space="preserve">) automáticamente para mantener el </w:t>
      </w:r>
      <w:proofErr w:type="spellStart"/>
      <w:r w:rsidRPr="009C772F">
        <w:t>prompt</w:t>
      </w:r>
      <w:proofErr w:type="spellEnd"/>
      <w:r w:rsidRPr="009C772F">
        <w:t xml:space="preserve"> seleccionado a la vista?</w:t>
      </w:r>
    </w:p>
    <w:p w14:paraId="33C9EEDF" w14:textId="77777777" w:rsidR="009C772F" w:rsidRPr="009C772F" w:rsidRDefault="009C772F" w:rsidP="009C772F">
      <w:pPr>
        <w:numPr>
          <w:ilvl w:val="0"/>
          <w:numId w:val="1"/>
        </w:numPr>
      </w:pPr>
      <w:r w:rsidRPr="009C772F">
        <w:rPr>
          <w:b/>
          <w:bCs/>
        </w:rPr>
        <w:t>Detalle sobre el comportamiento del mouse:</w:t>
      </w:r>
      <w:r w:rsidRPr="009C772F">
        <w:t xml:space="preserve"> Mencionas una asimetría en el </w:t>
      </w:r>
      <w:proofErr w:type="spellStart"/>
      <w:r w:rsidRPr="009C772F">
        <w:t>hover</w:t>
      </w:r>
      <w:proofErr w:type="spellEnd"/>
      <w:r w:rsidRPr="009C772F">
        <w:t xml:space="preserve"> del mouse (responde al medio de abajo hacia arriba, pero inmediatamente de arriba hacia abajo). Esto suele suceder debido a la propagación de eventos (&lt;</w:t>
      </w:r>
      <w:proofErr w:type="spellStart"/>
      <w:r w:rsidRPr="009C772F">
        <w:t>Enter</w:t>
      </w:r>
      <w:proofErr w:type="spellEnd"/>
      <w:r w:rsidRPr="009C772F">
        <w:t>&gt; y &lt;</w:t>
      </w:r>
      <w:proofErr w:type="spellStart"/>
      <w:r w:rsidRPr="009C772F">
        <w:t>Leave</w:t>
      </w:r>
      <w:proofErr w:type="spellEnd"/>
      <w:r w:rsidRPr="009C772F">
        <w:t xml:space="preserve">&gt;) entre los contenedores internos de la tarjeta (el </w:t>
      </w:r>
      <w:proofErr w:type="spellStart"/>
      <w:r w:rsidRPr="009C772F">
        <w:t>frame</w:t>
      </w:r>
      <w:proofErr w:type="spellEnd"/>
      <w:r w:rsidRPr="009C772F">
        <w:t xml:space="preserve"> interno </w:t>
      </w:r>
      <w:proofErr w:type="spellStart"/>
      <w:r w:rsidRPr="009C772F">
        <w:t>frame_info_bloque</w:t>
      </w:r>
      <w:proofErr w:type="spellEnd"/>
      <w:r w:rsidRPr="009C772F">
        <w:t xml:space="preserve"> y las etiquetas de texto). ¿Confirmas que prefieres que unifiquemos los eventos de mouse de todos los componentes de la tarjeta para que el </w:t>
      </w:r>
      <w:proofErr w:type="spellStart"/>
      <w:r w:rsidRPr="009C772F">
        <w:t>hover</w:t>
      </w:r>
      <w:proofErr w:type="spellEnd"/>
      <w:r w:rsidRPr="009C772F">
        <w:t xml:space="preserve"> se active de forma homogénea sin importar desde qué dirección entre el puntero?</w:t>
      </w:r>
    </w:p>
    <w:p w14:paraId="64DD9DA0" w14:textId="77777777" w:rsidR="009C772F" w:rsidRPr="009C772F" w:rsidRDefault="009C772F" w:rsidP="009C772F">
      <w:pPr>
        <w:rPr>
          <w:b/>
          <w:bCs/>
        </w:rPr>
      </w:pPr>
      <w:r w:rsidRPr="009C772F">
        <w:rPr>
          <w:b/>
          <w:bCs/>
        </w:rPr>
        <w:t>2. Plan Propuesto de Estructura y Archivo</w:t>
      </w:r>
    </w:p>
    <w:p w14:paraId="24F5014E" w14:textId="77777777" w:rsidR="009C772F" w:rsidRPr="009C772F" w:rsidRDefault="009C772F" w:rsidP="009C772F">
      <w:r w:rsidRPr="009C772F">
        <w:lastRenderedPageBreak/>
        <w:t>Modificaremos la lógica estructural dentro de un nuevo archivo llamado main-v35.py aplicando los siguientes cambios:</w:t>
      </w:r>
    </w:p>
    <w:p w14:paraId="663FE2AD" w14:textId="77777777" w:rsidR="009C772F" w:rsidRPr="009C772F" w:rsidRDefault="009C772F" w:rsidP="009C772F">
      <w:pPr>
        <w:numPr>
          <w:ilvl w:val="0"/>
          <w:numId w:val="2"/>
        </w:numPr>
      </w:pPr>
      <w:r w:rsidRPr="009C772F">
        <w:rPr>
          <w:b/>
          <w:bCs/>
        </w:rPr>
        <w:t>Gestión de Selección por Teclado:</w:t>
      </w:r>
    </w:p>
    <w:p w14:paraId="3BE802C8" w14:textId="77777777" w:rsidR="009C772F" w:rsidRPr="009C772F" w:rsidRDefault="009C772F" w:rsidP="009C772F">
      <w:pPr>
        <w:numPr>
          <w:ilvl w:val="1"/>
          <w:numId w:val="2"/>
        </w:numPr>
      </w:pPr>
      <w:r w:rsidRPr="009C772F">
        <w:t>Almacenar un índice de selección activa dentro del listado filtrado de resultados en pantalla.</w:t>
      </w:r>
    </w:p>
    <w:p w14:paraId="4EBF76C4" w14:textId="77777777" w:rsidR="009C772F" w:rsidRPr="009C772F" w:rsidRDefault="009C772F" w:rsidP="009C772F">
      <w:pPr>
        <w:numPr>
          <w:ilvl w:val="1"/>
          <w:numId w:val="2"/>
        </w:numPr>
      </w:pPr>
      <w:r w:rsidRPr="009C772F">
        <w:t>Enlazar los eventos &lt;Up&gt; y &lt;Down&gt; globalmente o a nivel de buscador para alterar este índice.</w:t>
      </w:r>
    </w:p>
    <w:p w14:paraId="223C1B51" w14:textId="77777777" w:rsidR="009C772F" w:rsidRPr="009C772F" w:rsidRDefault="009C772F" w:rsidP="009C772F">
      <w:pPr>
        <w:numPr>
          <w:ilvl w:val="1"/>
          <w:numId w:val="2"/>
        </w:numPr>
      </w:pPr>
      <w:r w:rsidRPr="009C772F">
        <w:t xml:space="preserve">Refactorizar la función </w:t>
      </w:r>
      <w:proofErr w:type="spellStart"/>
      <w:r w:rsidRPr="009C772F">
        <w:t>seleccionar_prompt</w:t>
      </w:r>
      <w:proofErr w:type="spellEnd"/>
      <w:r w:rsidRPr="009C772F">
        <w:t xml:space="preserve"> para que actualice visualmente la tarjeta correspondiente basándose en dicho índice dinámico.</w:t>
      </w:r>
    </w:p>
    <w:p w14:paraId="76F0AB4B" w14:textId="77777777" w:rsidR="009C772F" w:rsidRPr="009C772F" w:rsidRDefault="009C772F" w:rsidP="009C772F">
      <w:pPr>
        <w:numPr>
          <w:ilvl w:val="0"/>
          <w:numId w:val="2"/>
        </w:numPr>
      </w:pPr>
      <w:r w:rsidRPr="009C772F">
        <w:rPr>
          <w:b/>
          <w:bCs/>
        </w:rPr>
        <w:t xml:space="preserve">Enlace de Tecla </w:t>
      </w:r>
      <w:proofErr w:type="spellStart"/>
      <w:r w:rsidRPr="009C772F">
        <w:rPr>
          <w:b/>
          <w:bCs/>
        </w:rPr>
        <w:t>Enter</w:t>
      </w:r>
      <w:proofErr w:type="spellEnd"/>
      <w:r w:rsidRPr="009C772F">
        <w:rPr>
          <w:b/>
          <w:bCs/>
        </w:rPr>
        <w:t>:</w:t>
      </w:r>
    </w:p>
    <w:p w14:paraId="09E85748" w14:textId="77777777" w:rsidR="009C772F" w:rsidRPr="009C772F" w:rsidRDefault="009C772F" w:rsidP="009C772F">
      <w:pPr>
        <w:numPr>
          <w:ilvl w:val="1"/>
          <w:numId w:val="2"/>
        </w:numPr>
      </w:pPr>
      <w:r w:rsidRPr="009C772F">
        <w:t>Vincular el evento &lt;</w:t>
      </w:r>
      <w:proofErr w:type="spellStart"/>
      <w:r w:rsidRPr="009C772F">
        <w:t>Return</w:t>
      </w:r>
      <w:proofErr w:type="spellEnd"/>
      <w:r w:rsidRPr="009C772F">
        <w:t>&gt; (</w:t>
      </w:r>
      <w:proofErr w:type="spellStart"/>
      <w:r w:rsidRPr="009C772F">
        <w:t>Enter</w:t>
      </w:r>
      <w:proofErr w:type="spellEnd"/>
      <w:r w:rsidRPr="009C772F">
        <w:t xml:space="preserve">) de la aplicación para que actúe de manera idéntica al doble clic, ejecutando la inyección inteligente mediante </w:t>
      </w:r>
      <w:proofErr w:type="spellStart"/>
      <w:r w:rsidRPr="009C772F">
        <w:t>ejecutar_disparo_dinamico</w:t>
      </w:r>
      <w:proofErr w:type="spellEnd"/>
      <w:r w:rsidRPr="009C772F">
        <w:t>.</w:t>
      </w:r>
    </w:p>
    <w:p w14:paraId="31692286" w14:textId="77777777" w:rsidR="009C772F" w:rsidRPr="009C772F" w:rsidRDefault="009C772F" w:rsidP="009C772F">
      <w:pPr>
        <w:numPr>
          <w:ilvl w:val="0"/>
          <w:numId w:val="2"/>
        </w:numPr>
      </w:pPr>
      <w:r w:rsidRPr="009C772F">
        <w:rPr>
          <w:b/>
          <w:bCs/>
        </w:rPr>
        <w:t xml:space="preserve">Homogeneización del </w:t>
      </w:r>
      <w:proofErr w:type="spellStart"/>
      <w:r w:rsidRPr="009C772F">
        <w:rPr>
          <w:b/>
          <w:bCs/>
        </w:rPr>
        <w:t>Hover</w:t>
      </w:r>
      <w:proofErr w:type="spellEnd"/>
      <w:r w:rsidRPr="009C772F">
        <w:rPr>
          <w:b/>
          <w:bCs/>
        </w:rPr>
        <w:t xml:space="preserve"> del Mouse:</w:t>
      </w:r>
    </w:p>
    <w:p w14:paraId="295E3F74" w14:textId="77777777" w:rsidR="009C772F" w:rsidRPr="009C772F" w:rsidRDefault="009C772F" w:rsidP="009C772F">
      <w:pPr>
        <w:numPr>
          <w:ilvl w:val="1"/>
          <w:numId w:val="2"/>
        </w:numPr>
      </w:pPr>
      <w:r w:rsidRPr="009C772F">
        <w:t xml:space="preserve">Eliminar los retardos o dependencias de posición unificando la detección del puntero. Aplicaremos los </w:t>
      </w:r>
      <w:proofErr w:type="spellStart"/>
      <w:r w:rsidRPr="009C772F">
        <w:t>binds</w:t>
      </w:r>
      <w:proofErr w:type="spellEnd"/>
      <w:r w:rsidRPr="009C772F">
        <w:t xml:space="preserve"> de &lt;</w:t>
      </w:r>
      <w:proofErr w:type="spellStart"/>
      <w:r w:rsidRPr="009C772F">
        <w:t>Enter</w:t>
      </w:r>
      <w:proofErr w:type="spellEnd"/>
      <w:r w:rsidRPr="009C772F">
        <w:t>&gt; y &lt;</w:t>
      </w:r>
      <w:proofErr w:type="spellStart"/>
      <w:r w:rsidRPr="009C772F">
        <w:t>Leave</w:t>
      </w:r>
      <w:proofErr w:type="spellEnd"/>
      <w:r w:rsidRPr="009C772F">
        <w:t xml:space="preserve">&gt; directamente a la tarjeta principal </w:t>
      </w:r>
      <w:proofErr w:type="spellStart"/>
      <w:r w:rsidRPr="009C772F">
        <w:t>card_frame</w:t>
      </w:r>
      <w:proofErr w:type="spellEnd"/>
      <w:r w:rsidRPr="009C772F">
        <w:t xml:space="preserve"> y forzaremos a que sus elementos hijos desvíen o compartan el mismo disparador visual, eliminando la asimetría de abajo hacia arriba.</w:t>
      </w:r>
    </w:p>
    <w:p w14:paraId="1FB517A4" w14:textId="77777777" w:rsidR="009C772F" w:rsidRPr="009C772F" w:rsidRDefault="009C772F" w:rsidP="009C772F">
      <w:r w:rsidRPr="009C772F">
        <w:rPr>
          <w:b/>
          <w:bCs/>
        </w:rPr>
        <w:t>Quedo a la espera de tu confirmación o ajustes sobre las preguntas y el plan para proceder de inmediato a escribir el código completo del módulo.</w:t>
      </w:r>
    </w:p>
    <w:p w14:paraId="631489D8" w14:textId="3D134849" w:rsidR="009C772F" w:rsidRPr="009C772F" w:rsidRDefault="009C772F">
      <w:pPr>
        <w:rPr>
          <w:b/>
          <w:bCs/>
        </w:rPr>
      </w:pPr>
      <w:r w:rsidRPr="009C772F">
        <w:rPr>
          <w:b/>
          <w:bCs/>
        </w:rPr>
        <w:t>Respuesta</w:t>
      </w:r>
    </w:p>
    <w:p w14:paraId="20F7F709" w14:textId="77777777" w:rsidR="009C772F" w:rsidRPr="009C772F" w:rsidRDefault="009C772F" w:rsidP="009C772F">
      <w:r w:rsidRPr="009C772F">
        <w:t>1) Comportamiento del foco inicial: el foco del teclado se transfiera automáticamente a la lista y se seleccione el primer elemento</w:t>
      </w:r>
    </w:p>
    <w:p w14:paraId="63CCD2FC" w14:textId="77777777" w:rsidR="009C772F" w:rsidRPr="009C772F" w:rsidRDefault="009C772F" w:rsidP="009C772F">
      <w:r w:rsidRPr="009C772F">
        <w:t xml:space="preserve">2) Reacción del </w:t>
      </w:r>
      <w:proofErr w:type="spellStart"/>
      <w:r w:rsidRPr="009C772F">
        <w:t>Scroll</w:t>
      </w:r>
      <w:proofErr w:type="spellEnd"/>
      <w:r w:rsidRPr="009C772F">
        <w:t xml:space="preserve"> automático: el </w:t>
      </w:r>
      <w:proofErr w:type="spellStart"/>
      <w:r w:rsidRPr="009C772F">
        <w:t>scroll</w:t>
      </w:r>
      <w:proofErr w:type="spellEnd"/>
      <w:r w:rsidRPr="009C772F">
        <w:t xml:space="preserve"> debe desplazarse automáticamente</w:t>
      </w:r>
    </w:p>
    <w:p w14:paraId="43C6E8A9" w14:textId="77777777" w:rsidR="009C772F" w:rsidRPr="009C772F" w:rsidRDefault="009C772F" w:rsidP="009C772F">
      <w:r w:rsidRPr="009C772F">
        <w:t xml:space="preserve">3) Detalle sobre el comportamiento del mouse:  unifiquemos los eventos de mouse de todos los componentes de la tarjeta para que el </w:t>
      </w:r>
      <w:proofErr w:type="spellStart"/>
      <w:r w:rsidRPr="009C772F">
        <w:t>hover</w:t>
      </w:r>
      <w:proofErr w:type="spellEnd"/>
      <w:r w:rsidRPr="009C772F">
        <w:t xml:space="preserve"> se active de forma homogénea sin importar desde qué dirección entre el puntero</w:t>
      </w:r>
    </w:p>
    <w:p w14:paraId="40D87070" w14:textId="77777777" w:rsidR="009C772F" w:rsidRPr="009C772F" w:rsidRDefault="009C772F" w:rsidP="009C772F">
      <w:r w:rsidRPr="009C772F">
        <w:t xml:space="preserve">es </w:t>
      </w:r>
      <w:proofErr w:type="gramStart"/>
      <w:r w:rsidRPr="009C772F">
        <w:t>decir</w:t>
      </w:r>
      <w:proofErr w:type="gramEnd"/>
      <w:r w:rsidRPr="009C772F">
        <w:t xml:space="preserve"> se </w:t>
      </w:r>
      <w:proofErr w:type="spellStart"/>
      <w:r w:rsidRPr="009C772F">
        <w:t>deve</w:t>
      </w:r>
      <w:proofErr w:type="spellEnd"/>
      <w:r w:rsidRPr="009C772F">
        <w:t xml:space="preserve"> seleccionar el titulo ni bien entre en su contenedor</w:t>
      </w:r>
    </w:p>
    <w:p w14:paraId="4A5E58BF" w14:textId="77777777" w:rsidR="009C772F" w:rsidRPr="009C772F" w:rsidRDefault="009C772F" w:rsidP="009C772F"/>
    <w:p w14:paraId="207F6BFC" w14:textId="77777777" w:rsidR="009C772F" w:rsidRPr="009C772F" w:rsidRDefault="009C772F" w:rsidP="009C772F">
      <w:r w:rsidRPr="009C772F">
        <w:t xml:space="preserve">--&gt; </w:t>
      </w:r>
      <w:proofErr w:type="spellStart"/>
      <w:r w:rsidRPr="009C772F">
        <w:t>corrigeme</w:t>
      </w:r>
      <w:proofErr w:type="spellEnd"/>
      <w:r w:rsidRPr="009C772F">
        <w:t xml:space="preserve"> si mis peticiones </w:t>
      </w:r>
      <w:proofErr w:type="spellStart"/>
      <w:r w:rsidRPr="009C772F">
        <w:t>estan</w:t>
      </w:r>
      <w:proofErr w:type="spellEnd"/>
      <w:r w:rsidRPr="009C772F">
        <w:t xml:space="preserve"> bien planteadas </w:t>
      </w:r>
    </w:p>
    <w:p w14:paraId="6E0ADE6D" w14:textId="77777777" w:rsidR="009C772F" w:rsidRDefault="009C772F"/>
    <w:p w14:paraId="61D8A417" w14:textId="77777777" w:rsidR="009C772F" w:rsidRPr="009C772F" w:rsidRDefault="009C772F" w:rsidP="009C772F">
      <w:r w:rsidRPr="009C772F">
        <w:lastRenderedPageBreak/>
        <w:t xml:space="preserve">Tus peticiones están </w:t>
      </w:r>
      <w:r w:rsidRPr="009C772F">
        <w:rPr>
          <w:b/>
          <w:bCs/>
        </w:rPr>
        <w:t>perfectamente planteadas</w:t>
      </w:r>
      <w:r w:rsidRPr="009C772F">
        <w:t>. De hecho, demuestran un excelente sentido de la experiencia de usuario (UX) para herramientas de productividad.</w:t>
      </w:r>
    </w:p>
    <w:p w14:paraId="4F1BED9B" w14:textId="77777777" w:rsidR="009C772F" w:rsidRPr="009C772F" w:rsidRDefault="009C772F" w:rsidP="009C772F">
      <w:r w:rsidRPr="009C772F">
        <w:t>Haciendo una evaluación directa, tus tres decisiones son las más acertadas por las siguientes razones técnicas:</w:t>
      </w:r>
    </w:p>
    <w:p w14:paraId="7D7738AF" w14:textId="77777777" w:rsidR="009C772F" w:rsidRPr="009C772F" w:rsidRDefault="009C772F" w:rsidP="009C772F">
      <w:pPr>
        <w:numPr>
          <w:ilvl w:val="0"/>
          <w:numId w:val="3"/>
        </w:numPr>
      </w:pPr>
      <w:r w:rsidRPr="009C772F">
        <w:rPr>
          <w:b/>
          <w:bCs/>
        </w:rPr>
        <w:t>Foco inicial:</w:t>
      </w:r>
      <w:r w:rsidRPr="009C772F">
        <w:t xml:space="preserve"> Pasar el foco al primer elemento con las flechas evita clics innecesarios y acelera el uso mediante teclado.</w:t>
      </w:r>
    </w:p>
    <w:p w14:paraId="61C6888F" w14:textId="77777777" w:rsidR="009C772F" w:rsidRPr="009C772F" w:rsidRDefault="009C772F" w:rsidP="009C772F">
      <w:pPr>
        <w:numPr>
          <w:ilvl w:val="0"/>
          <w:numId w:val="3"/>
        </w:numPr>
      </w:pPr>
      <w:proofErr w:type="spellStart"/>
      <w:r w:rsidRPr="009C772F">
        <w:rPr>
          <w:b/>
          <w:bCs/>
        </w:rPr>
        <w:t>Scroll</w:t>
      </w:r>
      <w:proofErr w:type="spellEnd"/>
      <w:r w:rsidRPr="009C772F">
        <w:rPr>
          <w:b/>
          <w:bCs/>
        </w:rPr>
        <w:t xml:space="preserve"> automático:</w:t>
      </w:r>
      <w:r w:rsidRPr="009C772F">
        <w:t xml:space="preserve"> Indispensable. Si la lista crece y navegamos a ciegas sin que el contenedor acompañe la selección, la interfaz se vuelve incómoda.</w:t>
      </w:r>
    </w:p>
    <w:p w14:paraId="1871C0E0" w14:textId="77777777" w:rsidR="009C772F" w:rsidRPr="009C772F" w:rsidRDefault="009C772F" w:rsidP="009C772F">
      <w:pPr>
        <w:numPr>
          <w:ilvl w:val="0"/>
          <w:numId w:val="3"/>
        </w:numPr>
      </w:pPr>
      <w:r w:rsidRPr="009C772F">
        <w:rPr>
          <w:b/>
          <w:bCs/>
        </w:rPr>
        <w:t xml:space="preserve">Unificación del </w:t>
      </w:r>
      <w:proofErr w:type="spellStart"/>
      <w:r w:rsidRPr="009C772F">
        <w:rPr>
          <w:b/>
          <w:bCs/>
        </w:rPr>
        <w:t>Hover</w:t>
      </w:r>
      <w:proofErr w:type="spellEnd"/>
      <w:r w:rsidRPr="009C772F">
        <w:rPr>
          <w:b/>
          <w:bCs/>
        </w:rPr>
        <w:t>:</w:t>
      </w:r>
      <w:r w:rsidRPr="009C772F">
        <w:t xml:space="preserve"> Es la solución correcta. La asimetría actual ocurre porque las etiquetas hijas (</w:t>
      </w:r>
      <w:proofErr w:type="spellStart"/>
      <w:r w:rsidRPr="009C772F">
        <w:t>lbl_titulo</w:t>
      </w:r>
      <w:proofErr w:type="spellEnd"/>
      <w:r w:rsidRPr="009C772F">
        <w:t xml:space="preserve">, </w:t>
      </w:r>
      <w:proofErr w:type="spellStart"/>
      <w:r w:rsidRPr="009C772F">
        <w:t>lbl_meta</w:t>
      </w:r>
      <w:proofErr w:type="spellEnd"/>
      <w:r w:rsidRPr="009C772F">
        <w:t xml:space="preserve">) "roban" el evento de mouse al contenedor principal. Unificar el </w:t>
      </w:r>
      <w:proofErr w:type="spellStart"/>
      <w:r w:rsidRPr="009C772F">
        <w:t>bind</w:t>
      </w:r>
      <w:proofErr w:type="spellEnd"/>
      <w:r w:rsidRPr="009C772F">
        <w:t xml:space="preserve"> al contenedor garantiza una respuesta inmediata.</w:t>
      </w:r>
    </w:p>
    <w:p w14:paraId="25862718" w14:textId="77777777" w:rsidR="009C772F" w:rsidRDefault="009C772F"/>
    <w:p w14:paraId="32F159D7" w14:textId="77777777" w:rsidR="009C772F" w:rsidRDefault="009C772F"/>
    <w:sectPr w:rsidR="009C77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DF7"/>
    <w:multiLevelType w:val="multilevel"/>
    <w:tmpl w:val="FC62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06435"/>
    <w:multiLevelType w:val="multilevel"/>
    <w:tmpl w:val="3E32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70E06"/>
    <w:multiLevelType w:val="multilevel"/>
    <w:tmpl w:val="77D2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488346">
    <w:abstractNumId w:val="1"/>
  </w:num>
  <w:num w:numId="2" w16cid:durableId="1360468547">
    <w:abstractNumId w:val="2"/>
  </w:num>
  <w:num w:numId="3" w16cid:durableId="8252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22"/>
    <w:rsid w:val="00692522"/>
    <w:rsid w:val="009C772F"/>
    <w:rsid w:val="00C0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D6C1D"/>
  <w15:chartTrackingRefBased/>
  <w15:docId w15:val="{9CBBDB92-1F86-4CF4-A511-E50C3F8E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3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3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9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696</Words>
  <Characters>3829</Characters>
  <Application>Microsoft Office Word</Application>
  <DocSecurity>0</DocSecurity>
  <Lines>31</Lines>
  <Paragraphs>9</Paragraphs>
  <ScaleCrop>false</ScaleCrop>
  <Company>Conocimiento Adictivo</Company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2026-06-29T18:18:00Z</dcterms:created>
  <dcterms:modified xsi:type="dcterms:W3CDTF">2026-06-29T18:19:00Z</dcterms:modified>
</cp:coreProperties>
</file>