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5F0DB" w14:textId="6C778DC2" w:rsidR="00FC1007" w:rsidRDefault="00E01F21">
      <w:proofErr w:type="spellStart"/>
      <w:r>
        <w:t>Critical</w:t>
      </w:r>
      <w:proofErr w:type="spellEnd"/>
      <w:r>
        <w:t xml:space="preserve"> </w:t>
      </w:r>
      <w:proofErr w:type="spellStart"/>
      <w:r>
        <w:t>reviwer</w:t>
      </w:r>
      <w:proofErr w:type="spellEnd"/>
    </w:p>
    <w:p w14:paraId="41863F77" w14:textId="51B2DBCF" w:rsidR="00E01F21" w:rsidRPr="00E01F21" w:rsidRDefault="00E01F21">
      <w:pPr>
        <w:rPr>
          <w:lang w:val="en-US"/>
        </w:rPr>
      </w:pPr>
      <w:r w:rsidRPr="00E01F21">
        <w:rPr>
          <w:rFonts w:ascii="Verdana" w:hAnsi="Verdana"/>
          <w:color w:val="000033"/>
          <w:sz w:val="17"/>
          <w:szCs w:val="17"/>
          <w:shd w:val="clear" w:color="auto" w:fill="FFFFFF"/>
          <w:lang w:val="en-US"/>
        </w:rPr>
        <w:t>The article addresses an important, albeit very broad, issue: the transition to organic farming in the context of social and institutional inequalities in India. The authors attempt to combine a historical analysis (from the Green Revolution to contemporary organic initiatives) with an institutional study across different levels (macro, meso, micro), using a theoretical framework drawn from Regulation Theory and Comparative Agriculture. The empirical section relies on the field material (58 technical-economic interviews, landscape analysis, typology of farming systems), which provides a solid basis for describing inequalities and constraints in the adoption of organic farming.</w:t>
      </w:r>
      <w:r w:rsidRPr="00E01F21">
        <w:rPr>
          <w:rFonts w:ascii="Verdana" w:hAnsi="Verdana"/>
          <w:color w:val="000033"/>
          <w:sz w:val="17"/>
          <w:szCs w:val="17"/>
          <w:lang w:val="en-US"/>
        </w:rPr>
        <w:br/>
      </w:r>
      <w:r w:rsidRPr="00E01F21">
        <w:rPr>
          <w:rFonts w:ascii="Verdana" w:hAnsi="Verdana"/>
          <w:color w:val="000033"/>
          <w:sz w:val="17"/>
          <w:szCs w:val="17"/>
          <w:lang w:val="en-US"/>
        </w:rPr>
        <w:br/>
      </w:r>
      <w:r w:rsidRPr="00E01F21">
        <w:rPr>
          <w:rFonts w:ascii="Verdana" w:hAnsi="Verdana"/>
          <w:color w:val="000033"/>
          <w:sz w:val="17"/>
          <w:szCs w:val="17"/>
          <w:shd w:val="clear" w:color="auto" w:fill="FFFFFF"/>
          <w:lang w:val="en-US"/>
        </w:rPr>
        <w:t xml:space="preserve">However, the research problem is formulated so broadly that it raises several concerns, both theoretical and empirical. The authors seem to throw all major developmental dilemmas of agriculture into one basket: emissions, soil degradation, biodiversity loss, social inequalities, dependence on fossil fuels. This reads more like a "list of agriculture's sins" than a precise definition of the research question. Moreover, the conflict between productivism and sustainability has been debated for decades - from the </w:t>
      </w:r>
      <w:proofErr w:type="spellStart"/>
      <w:r w:rsidRPr="00E01F21">
        <w:rPr>
          <w:rFonts w:ascii="Verdana" w:hAnsi="Verdana"/>
          <w:color w:val="000033"/>
          <w:sz w:val="17"/>
          <w:szCs w:val="17"/>
          <w:shd w:val="clear" w:color="auto" w:fill="FFFFFF"/>
          <w:lang w:val="en-US"/>
        </w:rPr>
        <w:t>MacSharry</w:t>
      </w:r>
      <w:proofErr w:type="spellEnd"/>
      <w:r w:rsidRPr="00E01F21">
        <w:rPr>
          <w:rFonts w:ascii="Verdana" w:hAnsi="Verdana"/>
          <w:color w:val="000033"/>
          <w:sz w:val="17"/>
          <w:szCs w:val="17"/>
          <w:shd w:val="clear" w:color="auto" w:fill="FFFFFF"/>
          <w:lang w:val="en-US"/>
        </w:rPr>
        <w:t xml:space="preserve"> reform (1992) and Agenda 2000 in the EU, through the CAP Health Check, to current discussions on Farm to Fork. In this sense, the paper adds little that is new; it reiterates a well-known paradigm rather than demonstrating how their proposed synthesis of Regulation Theory and Comparative Agriculture offers a fresh perspective on barriers to implementing organic farming. In addition, the style and syntax make the argument difficult to follow and would require substantial revision.</w:t>
      </w:r>
      <w:r w:rsidRPr="00E01F21">
        <w:rPr>
          <w:rFonts w:ascii="Verdana" w:hAnsi="Verdana"/>
          <w:color w:val="000033"/>
          <w:sz w:val="17"/>
          <w:szCs w:val="17"/>
          <w:lang w:val="en-US"/>
        </w:rPr>
        <w:br/>
      </w:r>
      <w:r w:rsidRPr="00E01F21">
        <w:rPr>
          <w:rFonts w:ascii="Verdana" w:hAnsi="Verdana"/>
          <w:color w:val="000033"/>
          <w:sz w:val="17"/>
          <w:szCs w:val="17"/>
          <w:lang w:val="en-US"/>
        </w:rPr>
        <w:br/>
      </w:r>
      <w:r w:rsidRPr="00E01F21">
        <w:rPr>
          <w:rFonts w:ascii="Verdana" w:hAnsi="Verdana"/>
          <w:color w:val="000033"/>
          <w:sz w:val="17"/>
          <w:szCs w:val="17"/>
          <w:shd w:val="clear" w:color="auto" w:fill="FFFFFF"/>
          <w:lang w:val="en-US"/>
        </w:rPr>
        <w:t>Major Issues:</w:t>
      </w:r>
      <w:r w:rsidRPr="00E01F21">
        <w:rPr>
          <w:rFonts w:ascii="Verdana" w:hAnsi="Verdana"/>
          <w:color w:val="000033"/>
          <w:sz w:val="17"/>
          <w:szCs w:val="17"/>
          <w:lang w:val="en-US"/>
        </w:rPr>
        <w:br/>
      </w:r>
      <w:r w:rsidRPr="00E01F21">
        <w:rPr>
          <w:rFonts w:ascii="Verdana" w:hAnsi="Verdana"/>
          <w:color w:val="000033"/>
          <w:sz w:val="17"/>
          <w:szCs w:val="17"/>
          <w:lang w:val="en-US"/>
        </w:rPr>
        <w:br/>
      </w:r>
      <w:r w:rsidRPr="00E01F21">
        <w:rPr>
          <w:rFonts w:ascii="Verdana" w:hAnsi="Verdana"/>
          <w:color w:val="000033"/>
          <w:sz w:val="17"/>
          <w:szCs w:val="17"/>
          <w:shd w:val="clear" w:color="auto" w:fill="FFFFFF"/>
          <w:lang w:val="en-US"/>
        </w:rPr>
        <w:t>1/ Lack of novel contribution</w:t>
      </w:r>
      <w:r w:rsidRPr="00E01F21">
        <w:rPr>
          <w:rFonts w:ascii="Verdana" w:hAnsi="Verdana"/>
          <w:color w:val="000033"/>
          <w:sz w:val="17"/>
          <w:szCs w:val="17"/>
          <w:lang w:val="en-US"/>
        </w:rPr>
        <w:br/>
      </w:r>
      <w:r w:rsidRPr="00E01F21">
        <w:rPr>
          <w:rFonts w:ascii="Verdana" w:hAnsi="Verdana"/>
          <w:color w:val="000033"/>
          <w:sz w:val="17"/>
          <w:szCs w:val="17"/>
          <w:shd w:val="clear" w:color="auto" w:fill="FFFFFF"/>
          <w:lang w:val="en-US"/>
        </w:rPr>
        <w:t xml:space="preserve">The authors claim that the innovation lies in integrating the "meso approach" of Regulation Theory with "Comparative Agriculture". Both approaches are well established in the literature (RT - Boyer, Lamarche; Comparative Agriculture - Cochet). The paper does not clearly show what this integration adds beyond its application to a single case study. Furthermore, there is no </w:t>
      </w:r>
      <w:proofErr w:type="spellStart"/>
      <w:r w:rsidRPr="00E01F21">
        <w:rPr>
          <w:rFonts w:ascii="Verdana" w:hAnsi="Verdana"/>
          <w:color w:val="000033"/>
          <w:sz w:val="17"/>
          <w:szCs w:val="17"/>
          <w:shd w:val="clear" w:color="auto" w:fill="FFFFFF"/>
          <w:lang w:val="en-US"/>
        </w:rPr>
        <w:t>operationalisation</w:t>
      </w:r>
      <w:proofErr w:type="spellEnd"/>
      <w:r w:rsidRPr="00E01F21">
        <w:rPr>
          <w:rFonts w:ascii="Verdana" w:hAnsi="Verdana"/>
          <w:color w:val="000033"/>
          <w:sz w:val="17"/>
          <w:szCs w:val="17"/>
          <w:shd w:val="clear" w:color="auto" w:fill="FFFFFF"/>
          <w:lang w:val="en-US"/>
        </w:rPr>
        <w:t xml:space="preserve"> of this integration in a way that could be replicated - for instance, no explicit model, analytical scheme or tool that could be applied in other contexts. In the "Discussion" section, the authors state that their approach "enlarges the tools of social ecological economists", yet they do not present any concrete instrument or methodology that would be readily usable by other researchers.</w:t>
      </w:r>
      <w:r w:rsidRPr="00E01F21">
        <w:rPr>
          <w:rFonts w:ascii="Verdana" w:hAnsi="Verdana"/>
          <w:color w:val="000033"/>
          <w:sz w:val="17"/>
          <w:szCs w:val="17"/>
          <w:lang w:val="en-US"/>
        </w:rPr>
        <w:br/>
      </w:r>
      <w:r w:rsidRPr="00E01F21">
        <w:rPr>
          <w:rFonts w:ascii="Verdana" w:hAnsi="Verdana"/>
          <w:color w:val="000033"/>
          <w:sz w:val="17"/>
          <w:szCs w:val="17"/>
          <w:lang w:val="en-US"/>
        </w:rPr>
        <w:br/>
      </w:r>
      <w:r w:rsidRPr="00E01F21">
        <w:rPr>
          <w:rFonts w:ascii="Verdana" w:hAnsi="Verdana"/>
          <w:color w:val="000033"/>
          <w:sz w:val="17"/>
          <w:szCs w:val="17"/>
          <w:shd w:val="clear" w:color="auto" w:fill="FFFFFF"/>
          <w:lang w:val="en-US"/>
        </w:rPr>
        <w:t>2/ Eclectic and weakly justified theoretical framework</w:t>
      </w:r>
      <w:r w:rsidRPr="00E01F21">
        <w:rPr>
          <w:rFonts w:ascii="Verdana" w:hAnsi="Verdana"/>
          <w:color w:val="000033"/>
          <w:sz w:val="17"/>
          <w:szCs w:val="17"/>
          <w:lang w:val="en-US"/>
        </w:rPr>
        <w:br/>
      </w:r>
      <w:r w:rsidRPr="00E01F21">
        <w:rPr>
          <w:rFonts w:ascii="Verdana" w:hAnsi="Verdana"/>
          <w:color w:val="000033"/>
          <w:sz w:val="17"/>
          <w:szCs w:val="17"/>
          <w:shd w:val="clear" w:color="auto" w:fill="FFFFFF"/>
          <w:lang w:val="en-US"/>
        </w:rPr>
        <w:t xml:space="preserve">The article refers to Marx and Keynes as part of the introduction to Regulation Theory (RT), which historically draws on these traditions - combining analysis of capital accumulation (Marx) with the role of monetary and state institutions (Keynes). This is consistent with the classical </w:t>
      </w:r>
      <w:proofErr w:type="spellStart"/>
      <w:r w:rsidRPr="00E01F21">
        <w:rPr>
          <w:rFonts w:ascii="Verdana" w:hAnsi="Verdana"/>
          <w:color w:val="000033"/>
          <w:sz w:val="17"/>
          <w:szCs w:val="17"/>
          <w:shd w:val="clear" w:color="auto" w:fill="FFFFFF"/>
          <w:lang w:val="en-US"/>
        </w:rPr>
        <w:t>regulationist</w:t>
      </w:r>
      <w:proofErr w:type="spellEnd"/>
      <w:r w:rsidRPr="00E01F21">
        <w:rPr>
          <w:rFonts w:ascii="Verdana" w:hAnsi="Verdana"/>
          <w:color w:val="000033"/>
          <w:sz w:val="17"/>
          <w:szCs w:val="17"/>
          <w:shd w:val="clear" w:color="auto" w:fill="FFFFFF"/>
          <w:lang w:val="en-US"/>
        </w:rPr>
        <w:t xml:space="preserve"> approach. However, in the context of </w:t>
      </w:r>
      <w:proofErr w:type="spellStart"/>
      <w:r w:rsidRPr="00E01F21">
        <w:rPr>
          <w:rFonts w:ascii="Verdana" w:hAnsi="Verdana"/>
          <w:color w:val="000033"/>
          <w:sz w:val="17"/>
          <w:szCs w:val="17"/>
          <w:shd w:val="clear" w:color="auto" w:fill="FFFFFF"/>
          <w:lang w:val="en-US"/>
        </w:rPr>
        <w:t>analysing</w:t>
      </w:r>
      <w:proofErr w:type="spellEnd"/>
      <w:r w:rsidRPr="00E01F21">
        <w:rPr>
          <w:rFonts w:ascii="Verdana" w:hAnsi="Verdana"/>
          <w:color w:val="000033"/>
          <w:sz w:val="17"/>
          <w:szCs w:val="17"/>
          <w:shd w:val="clear" w:color="auto" w:fill="FFFFFF"/>
          <w:lang w:val="en-US"/>
        </w:rPr>
        <w:t xml:space="preserve"> the transition to organic farming and institutional inequalities, the choice of these traditions appears eclectic and insufficiently justified. New Institutional Economics (NIE), transaction cost theory (Coase, Williamson) or Ostrom's approach to "commons" would seem more relevant for studying rules of resource access, property structures and coordination mechanisms. The authors mention Ostrom but do not develop NIE or transaction cost theory, even though these issues (access to resources, governance, bundle of rights) are central to the study of agrarian inequalities. The result is a historical collage: Marx + Keynes as the foundation of RT, then Ostrom for commons, and finally Comparative Agriculture - without a clear rationale for why these three frameworks, and not, for example, NIE, which is widely used in agricultural institutional analysis. Current references to the history of economic thought are largely declarative rather than analytical - they do not meaningfully inform the methodology.</w:t>
      </w:r>
      <w:r w:rsidRPr="00E01F21">
        <w:rPr>
          <w:rFonts w:ascii="Verdana" w:hAnsi="Verdana"/>
          <w:color w:val="000033"/>
          <w:sz w:val="17"/>
          <w:szCs w:val="17"/>
          <w:lang w:val="en-US"/>
        </w:rPr>
        <w:br/>
      </w:r>
      <w:r w:rsidRPr="00E01F21">
        <w:rPr>
          <w:rFonts w:ascii="Verdana" w:hAnsi="Verdana"/>
          <w:color w:val="000033"/>
          <w:sz w:val="17"/>
          <w:szCs w:val="17"/>
          <w:lang w:val="en-US"/>
        </w:rPr>
        <w:br/>
      </w:r>
      <w:r w:rsidRPr="00E01F21">
        <w:rPr>
          <w:rFonts w:ascii="Verdana" w:hAnsi="Verdana"/>
          <w:color w:val="000033"/>
          <w:sz w:val="17"/>
          <w:szCs w:val="17"/>
          <w:shd w:val="clear" w:color="auto" w:fill="FFFFFF"/>
          <w:lang w:val="en-US"/>
        </w:rPr>
        <w:t>3/ Methodology not anchored in the declared theoretical framework</w:t>
      </w:r>
      <w:r w:rsidRPr="00E01F21">
        <w:rPr>
          <w:rFonts w:ascii="Verdana" w:hAnsi="Verdana"/>
          <w:color w:val="000033"/>
          <w:sz w:val="17"/>
          <w:szCs w:val="17"/>
          <w:lang w:val="en-US"/>
        </w:rPr>
        <w:br/>
      </w:r>
      <w:r w:rsidRPr="00E01F21">
        <w:rPr>
          <w:rFonts w:ascii="Verdana" w:hAnsi="Verdana"/>
          <w:color w:val="000033"/>
          <w:sz w:val="17"/>
          <w:szCs w:val="17"/>
          <w:shd w:val="clear" w:color="auto" w:fill="FFFFFF"/>
          <w:lang w:val="en-US"/>
        </w:rPr>
        <w:t xml:space="preserve">The authors claim their innovation lies in "integrating the meso approach of Regulation Theory (RT) with Comparative Agriculture". RT has four "building blocks" (nature, </w:t>
      </w:r>
      <w:proofErr w:type="spellStart"/>
      <w:r w:rsidRPr="00E01F21">
        <w:rPr>
          <w:rFonts w:ascii="Verdana" w:hAnsi="Verdana"/>
          <w:color w:val="000033"/>
          <w:sz w:val="17"/>
          <w:szCs w:val="17"/>
          <w:shd w:val="clear" w:color="auto" w:fill="FFFFFF"/>
          <w:lang w:val="en-US"/>
        </w:rPr>
        <w:t>labour</w:t>
      </w:r>
      <w:proofErr w:type="spellEnd"/>
      <w:r w:rsidRPr="00E01F21">
        <w:rPr>
          <w:rFonts w:ascii="Verdana" w:hAnsi="Verdana"/>
          <w:color w:val="000033"/>
          <w:sz w:val="17"/>
          <w:szCs w:val="17"/>
          <w:shd w:val="clear" w:color="auto" w:fill="FFFFFF"/>
          <w:lang w:val="en-US"/>
        </w:rPr>
        <w:t xml:space="preserve">, competition, futurity), while Comparative Agriculture brings analysis of agroecosystems and typologies of farming systems. Data were collected using the classic agrarian diagnosis method (landscape analysis, historical interviews, typology of systems, calculation of value added). The analysis relies on interviews with farmers (58 technical-economic + 30 historical), mapping ecosystems and farming systems, and simplified economic calculations (NVA). All this is typical of Comparative Agriculture, but there is no clear link to RT. The authors note that "micro-level origin of building </w:t>
      </w:r>
      <w:r w:rsidRPr="00E01F21">
        <w:rPr>
          <w:rFonts w:ascii="Verdana" w:hAnsi="Verdana"/>
          <w:color w:val="000033"/>
          <w:sz w:val="17"/>
          <w:szCs w:val="17"/>
          <w:shd w:val="clear" w:color="auto" w:fill="FFFFFF"/>
          <w:lang w:val="en-US"/>
        </w:rPr>
        <w:lastRenderedPageBreak/>
        <w:t>blocks speaks to meso-level", yet they do not show how this translates into analysis. In short, there is no explicit tool connecting RT to the data. RT functions more as an interpretative frame in the discussion than as an analytical structure in the research. Ostrom and "commons" appear in the narrative but not in the method. The methodology is firmly rooted in Comparative Agriculture, while RT is added merely as a distant backdrop.</w:t>
      </w:r>
      <w:r w:rsidRPr="00E01F21">
        <w:rPr>
          <w:rFonts w:ascii="Verdana" w:hAnsi="Verdana"/>
          <w:color w:val="000033"/>
          <w:sz w:val="17"/>
          <w:szCs w:val="17"/>
          <w:lang w:val="en-US"/>
        </w:rPr>
        <w:br/>
      </w:r>
      <w:r w:rsidRPr="00E01F21">
        <w:rPr>
          <w:rFonts w:ascii="Verdana" w:hAnsi="Verdana"/>
          <w:color w:val="000033"/>
          <w:sz w:val="17"/>
          <w:szCs w:val="17"/>
          <w:lang w:val="en-US"/>
        </w:rPr>
        <w:br/>
      </w:r>
      <w:r w:rsidRPr="00E01F21">
        <w:rPr>
          <w:rFonts w:ascii="Verdana" w:hAnsi="Verdana"/>
          <w:color w:val="000033"/>
          <w:sz w:val="17"/>
          <w:szCs w:val="17"/>
          <w:shd w:val="clear" w:color="auto" w:fill="FFFFFF"/>
          <w:lang w:val="en-US"/>
        </w:rPr>
        <w:t xml:space="preserve">4/ Lack of a clear research </w:t>
      </w:r>
      <w:proofErr w:type="gramStart"/>
      <w:r w:rsidRPr="00E01F21">
        <w:rPr>
          <w:rFonts w:ascii="Verdana" w:hAnsi="Verdana"/>
          <w:color w:val="000033"/>
          <w:sz w:val="17"/>
          <w:szCs w:val="17"/>
          <w:shd w:val="clear" w:color="auto" w:fill="FFFFFF"/>
          <w:lang w:val="en-US"/>
        </w:rPr>
        <w:t>design</w:t>
      </w:r>
      <w:proofErr w:type="gramEnd"/>
      <w:r w:rsidRPr="00E01F21">
        <w:rPr>
          <w:rFonts w:ascii="Verdana" w:hAnsi="Verdana"/>
          <w:color w:val="000033"/>
          <w:sz w:val="17"/>
          <w:szCs w:val="17"/>
          <w:lang w:val="en-US"/>
        </w:rPr>
        <w:br/>
      </w:r>
      <w:r w:rsidRPr="00E01F21">
        <w:rPr>
          <w:rFonts w:ascii="Verdana" w:hAnsi="Verdana"/>
          <w:color w:val="000033"/>
          <w:sz w:val="17"/>
          <w:szCs w:val="17"/>
          <w:shd w:val="clear" w:color="auto" w:fill="FFFFFF"/>
          <w:lang w:val="en-US"/>
        </w:rPr>
        <w:t xml:space="preserve">The article mixes three levels of analysis (macro, meso, micro) and three different theoretical frameworks (RT, commons/Ostrom, Comparative Agriculture), but does not present a clear logic of integration. Table 1 (scales and categories of analysis) is interesting but insufficient to understand how the authors move from field data to theoretical conclusions. The description of data collection is detailed, yet there is no explicit link between these data and the "building blocks" of meso-regulation (nature, </w:t>
      </w:r>
      <w:proofErr w:type="spellStart"/>
      <w:r w:rsidRPr="00E01F21">
        <w:rPr>
          <w:rFonts w:ascii="Verdana" w:hAnsi="Verdana"/>
          <w:color w:val="000033"/>
          <w:sz w:val="17"/>
          <w:szCs w:val="17"/>
          <w:shd w:val="clear" w:color="auto" w:fill="FFFFFF"/>
          <w:lang w:val="en-US"/>
        </w:rPr>
        <w:t>labour</w:t>
      </w:r>
      <w:proofErr w:type="spellEnd"/>
      <w:r w:rsidRPr="00E01F21">
        <w:rPr>
          <w:rFonts w:ascii="Verdana" w:hAnsi="Verdana"/>
          <w:color w:val="000033"/>
          <w:sz w:val="17"/>
          <w:szCs w:val="17"/>
          <w:shd w:val="clear" w:color="auto" w:fill="FFFFFF"/>
          <w:lang w:val="en-US"/>
        </w:rPr>
        <w:t>, competition, futurity). As a result, it is difficult to assess whether the integration of RT and Comparative Agriculture genuinely enables new insights or is merely a narrative device.</w:t>
      </w:r>
      <w:r w:rsidRPr="00E01F21">
        <w:rPr>
          <w:rFonts w:ascii="Verdana" w:hAnsi="Verdana"/>
          <w:color w:val="000033"/>
          <w:sz w:val="17"/>
          <w:szCs w:val="17"/>
          <w:lang w:val="en-US"/>
        </w:rPr>
        <w:br/>
      </w:r>
      <w:r w:rsidRPr="00E01F21">
        <w:rPr>
          <w:rFonts w:ascii="Verdana" w:hAnsi="Verdana"/>
          <w:color w:val="000033"/>
          <w:sz w:val="17"/>
          <w:szCs w:val="17"/>
          <w:lang w:val="en-US"/>
        </w:rPr>
        <w:br/>
      </w:r>
      <w:r w:rsidRPr="00E01F21">
        <w:rPr>
          <w:rFonts w:ascii="Verdana" w:hAnsi="Verdana"/>
          <w:color w:val="000033"/>
          <w:sz w:val="17"/>
          <w:szCs w:val="17"/>
          <w:shd w:val="clear" w:color="auto" w:fill="FFFFFF"/>
          <w:lang w:val="en-US"/>
        </w:rPr>
        <w:t>5/ Conclusions do not stem from the declared theoretical synthesis</w:t>
      </w:r>
      <w:r w:rsidRPr="00E01F21">
        <w:rPr>
          <w:rFonts w:ascii="Verdana" w:hAnsi="Verdana"/>
          <w:color w:val="000033"/>
          <w:sz w:val="17"/>
          <w:szCs w:val="17"/>
          <w:lang w:val="en-US"/>
        </w:rPr>
        <w:br/>
      </w:r>
      <w:r w:rsidRPr="00E01F21">
        <w:rPr>
          <w:rFonts w:ascii="Verdana" w:hAnsi="Verdana"/>
          <w:color w:val="000033"/>
          <w:sz w:val="17"/>
          <w:szCs w:val="17"/>
          <w:shd w:val="clear" w:color="auto" w:fill="FFFFFF"/>
          <w:lang w:val="en-US"/>
        </w:rPr>
        <w:t xml:space="preserve">The findings are interesting (e.g., organic farming in Uttarakhand is input-based rather than landscape-based; it excludes the smallest farmers; it perpetuates inequalities), but these observations do not directly derive from the proposed theoretical framework - they could be obtained through a conventional analysis of agricultural policy and agrarian structure. The article is more descriptive than analytical - heavy on historical and contextual detail, light on conceptual </w:t>
      </w:r>
      <w:proofErr w:type="spellStart"/>
      <w:r w:rsidRPr="00E01F21">
        <w:rPr>
          <w:rFonts w:ascii="Verdana" w:hAnsi="Verdana"/>
          <w:color w:val="000033"/>
          <w:sz w:val="17"/>
          <w:szCs w:val="17"/>
          <w:shd w:val="clear" w:color="auto" w:fill="FFFFFF"/>
          <w:lang w:val="en-US"/>
        </w:rPr>
        <w:t>formalisation</w:t>
      </w:r>
      <w:proofErr w:type="spellEnd"/>
      <w:r w:rsidRPr="00E01F21">
        <w:rPr>
          <w:rFonts w:ascii="Verdana" w:hAnsi="Verdana"/>
          <w:color w:val="000033"/>
          <w:sz w:val="17"/>
          <w:szCs w:val="17"/>
          <w:shd w:val="clear" w:color="auto" w:fill="FFFFFF"/>
          <w:lang w:val="en-US"/>
        </w:rPr>
        <w:t>. There is too little engagement with the literature for a strong review and too much theoretical and historical exposition for a research article.</w:t>
      </w:r>
    </w:p>
    <w:sectPr w:rsidR="00E01F21" w:rsidRPr="00E01F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F21"/>
    <w:rsid w:val="00445E39"/>
    <w:rsid w:val="00515149"/>
    <w:rsid w:val="00607499"/>
    <w:rsid w:val="00E01F21"/>
    <w:rsid w:val="00FC10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BF55E"/>
  <w15:chartTrackingRefBased/>
  <w15:docId w15:val="{E83016F4-6161-4F1B-841E-5FAB77FDD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1027</Words>
  <Characters>5653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Universitat de Barcelona</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Alexander Urrego Mesa</dc:creator>
  <cp:keywords/>
  <dc:description/>
  <cp:lastModifiedBy>John Alexander</cp:lastModifiedBy>
  <cp:revision>1</cp:revision>
  <dcterms:created xsi:type="dcterms:W3CDTF">2026-05-26T10:32:00Z</dcterms:created>
  <dcterms:modified xsi:type="dcterms:W3CDTF">2026-05-26T11:26:00Z</dcterms:modified>
</cp:coreProperties>
</file>