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eXGyreHeros" w:hAnsi="TeXGyreHeros"/>
          <w:b/>
          <w:b/>
          <w:bCs/>
          <w:sz w:val="32"/>
          <w:szCs w:val="32"/>
        </w:rPr>
      </w:pPr>
      <w:r>
        <w:rPr>
          <w:rFonts w:ascii="TeXGyreHeros" w:hAnsi="TeXGyreHeros"/>
          <w:b/>
          <w:bCs/>
          <w:sz w:val="32"/>
          <w:szCs w:val="32"/>
        </w:rPr>
        <w:t>Об использовании RNN с LSTM для определения ускоренных top-кварков в адронных струях в экспериментах Большого адронного колайдера</w:t>
      </w:r>
    </w:p>
    <w:p>
      <w:pPr>
        <w:pStyle w:val="Normal"/>
        <w:rPr>
          <w:rFonts w:ascii="TeXGyreHeros" w:hAnsi="TeXGyreHeros"/>
          <w:b/>
          <w:b/>
          <w:bCs/>
          <w:sz w:val="32"/>
          <w:szCs w:val="32"/>
        </w:rPr>
      </w:pPr>
      <w:r>
        <w:rPr>
          <w:rFonts w:ascii="TeXGyreHeros" w:hAnsi="TeXGyreHeros"/>
          <w:b/>
          <w:bCs/>
          <w:sz w:val="32"/>
          <w:szCs w:val="32"/>
        </w:rPr>
      </w:r>
    </w:p>
    <w:p>
      <w:pPr>
        <w:pStyle w:val="Normal"/>
        <w:ind w:left="0" w:right="-540" w:hanging="0"/>
        <w:rPr>
          <w:rFonts w:ascii="TeXGyreHeros" w:hAnsi="TeXGyreHeros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 xml:space="preserve">В статье описан подход, с помощью которого осуществляется достаточно важная задача определения потоков частиц с адронных и глюонных распадов, физики элементарных частиц где-то за рамками Стандартной модели. </w:t>
      </w: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>Как отмечено в статье, для определения типа частиц используются нейронные сети. Упоминается подход одного из использований рекурсивных сетей для генерации потоков W бозонов – переносчиков слабого взаимодействия, там входными данными служили 4-импульсы частиц; далее данные передавались на вход fully-connected DNN. Основными характеристиками сигнала служили ортогональная составляющая момента импульса (p</w:t>
      </w:r>
      <w:r>
        <w:rPr>
          <w:rFonts w:ascii="TeXGyreHeros" w:hAnsi="TeXGyreHeros"/>
          <w:b w:val="false"/>
          <w:bCs w:val="false"/>
          <w:sz w:val="24"/>
          <w:szCs w:val="24"/>
          <w:vertAlign w:val="subscript"/>
          <w:lang w:val="ru-RU"/>
        </w:rPr>
        <w:t>T</w:t>
      </w: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 xml:space="preserve">), псевдобыстрота (угловое отклонение от потока распространения, </w:t>
      </w: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>η</w:t>
      </w: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>) и азимутальный угол (</w:t>
      </w: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>ϕ</w:t>
      </w: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>). Также применено Лоренцево преобразование поворота, которое сыграло важную роль в перфомансе сети. В данной работе предлагается заменить списков импульсов частиц фиксированной длины предлагается использовать триплеты (p</w:t>
      </w:r>
      <w:r>
        <w:rPr>
          <w:rFonts w:ascii="TeXGyreHeros" w:hAnsi="TeXGyreHeros"/>
          <w:b w:val="false"/>
          <w:bCs w:val="false"/>
          <w:sz w:val="24"/>
          <w:szCs w:val="24"/>
          <w:vertAlign w:val="subscript"/>
          <w:lang w:val="ru-RU"/>
        </w:rPr>
        <w:t>T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, 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η, ϕ</w:t>
      </w: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>), вариативные по длине, последовательно даваемые на вход LSTM-ячейкам.</w:t>
      </w:r>
    </w:p>
    <w:p>
      <w:pPr>
        <w:pStyle w:val="Normal"/>
        <w:ind w:left="0" w:right="-540" w:hanging="0"/>
        <w:rPr>
          <w:rFonts w:ascii="TeXGyreHeros" w:hAnsi="TeXGyreHeros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</w:r>
    </w:p>
    <w:p>
      <w:pPr>
        <w:pStyle w:val="Normal"/>
        <w:ind w:left="0" w:right="-540" w:hanging="0"/>
        <w:rPr>
          <w:rFonts w:ascii="TeXGyreHeros" w:hAnsi="TeXGyreHeros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>Авторы уделили очень большое внимание препроцессингу и  моделированю исследуемого сигнала. Отметим самые важные моменты:</w:t>
      </w:r>
    </w:p>
    <w:p>
      <w:pPr>
        <w:pStyle w:val="Normal"/>
        <w:numPr>
          <w:ilvl w:val="0"/>
          <w:numId w:val="1"/>
        </w:numPr>
        <w:rPr/>
      </w:pP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>данные сгенерированы методом Монте-Карло, они состоят из Z</w:t>
      </w:r>
      <w:r>
        <w:rPr>
          <w:rFonts w:ascii="TeXGyreHeros" w:hAnsi="TeXGyreHeros"/>
          <w:b w:val="false"/>
          <w:bCs w:val="false"/>
          <w:sz w:val="24"/>
          <w:szCs w:val="24"/>
          <w:vertAlign w:val="superscript"/>
          <w:lang w:val="ru-RU"/>
        </w:rPr>
        <w:t>|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-бозонов, распадающихся на топ-кварки (разрешены только определённые распады),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 и фоновых струй глюонов, с одинаковыми распределениями параметра  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η.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 Также проведена симуляция детектора;</w:t>
      </w:r>
    </w:p>
    <w:p>
      <w:pPr>
        <w:pStyle w:val="Normal"/>
        <w:numPr>
          <w:ilvl w:val="0"/>
          <w:numId w:val="1"/>
        </w:numPr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Проведена подготовка потоков частиц с помощью FastJet: часть частиц собрана алгоритмами кластеризации, разложены на подкластеры, 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чтобы сохранить исходную структуру,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 часть – подверглась триммингу с дефолтным порогом по модели, часть была подвержена сэмплированию, чтобы алгоритм не смог быстро приспособиться к законам распределения импульсов в модели – этакая регуляризация. Итого получили 7 миллионов потоков, разбитых на сигнал и фон, которые были разбиты на обучение, валидацию и тест как 80:10:10 и подготовлен набор из независимых 11 миллионов потоков (половина сигнал, половина фон) для финального тестирования. Порядок следования потоков при каждой эпохе обучения предполагался перемешанным.</w:t>
      </w:r>
    </w:p>
    <w:p>
      <w:pPr>
        <w:pStyle w:val="Normal"/>
        <w:numPr>
          <w:ilvl w:val="0"/>
          <w:numId w:val="1"/>
        </w:numPr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Произведён препроцессинг, а именно:</w:t>
      </w:r>
    </w:p>
    <w:p>
      <w:pPr>
        <w:pStyle w:val="Normal"/>
        <w:numPr>
          <w:ilvl w:val="1"/>
          <w:numId w:val="1"/>
        </w:numPr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преобразование Лоренц-инвариантым поворотом – этакая аугментация;</w:t>
      </w:r>
    </w:p>
    <w:p>
      <w:pPr>
        <w:pStyle w:val="Normal"/>
        <w:numPr>
          <w:ilvl w:val="1"/>
          <w:numId w:val="1"/>
        </w:numPr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центрирование по всему триплету параметров;</w:t>
      </w:r>
    </w:p>
    <w:p>
      <w:pPr>
        <w:pStyle w:val="Normal"/>
        <w:numPr>
          <w:ilvl w:val="1"/>
          <w:numId w:val="1"/>
        </w:numPr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сдвиг системы координат, чтобы среднее значение оставалось бы в большей степени положительным, поворот системы координат;</w:t>
      </w:r>
    </w:p>
    <w:p>
      <w:pPr>
        <w:pStyle w:val="Normal"/>
        <w:numPr>
          <w:ilvl w:val="0"/>
          <w:numId w:val="0"/>
        </w:numPr>
        <w:rPr>
          <w:rFonts w:ascii="TeXGyreHeros" w:hAnsi="TeXGyreHeros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Произведено выравнивание последовательности потоков частиц:</w:t>
      </w:r>
    </w:p>
    <w:p>
      <w:pPr>
        <w:pStyle w:val="Normal"/>
        <w:numPr>
          <w:ilvl w:val="1"/>
          <w:numId w:val="1"/>
        </w:numPr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Рекурсивно + помощь aнти-k</w:t>
      </w:r>
      <w:r>
        <w:rPr>
          <w:rFonts w:ascii="TeXGyreHeros" w:hAnsi="TeXGyreHeros"/>
          <w:b w:val="false"/>
          <w:bCs w:val="false"/>
          <w:sz w:val="24"/>
          <w:szCs w:val="24"/>
          <w:vertAlign w:val="subscript"/>
          <w:lang w:val="ru-RU"/>
        </w:rPr>
        <w:t>T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 алгоритма (декластеризация) установлен порядок построения подпотоков исходного потока (зачем это сделано – см. препроцессинг) – это позволило определить лучший порядок следования потоков, как заявляют авторы статьи</w:t>
      </w:r>
    </w:p>
    <w:p>
      <w:pPr>
        <w:pStyle w:val="Normal"/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Архитектура является эвристикой, найденной авторами. Оптимизатор – Адам 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(неудивительно)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. </w:t>
      </w: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Сеть состоит из LSTM на 128 выходов, выведенных на 64 узла Dense layer. Как видно, достаточно простая архитектура.</w:t>
      </w:r>
    </w:p>
    <w:p>
      <w:pPr>
        <w:pStyle w:val="Normal"/>
        <w:rPr>
          <w:rFonts w:ascii="TeXGyreHeros" w:hAnsi="TeXGyreHeros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>Авторы статьи по данным ROC-кривым утверждают, что добились в 2 раза большей эффективности отвержения не тех потоков на уровне 50% (достаточно высокий уровень, не факт, что это есть хорошо…), также продемонстрирована эффективность проведённого командой препроцессинга.</w:t>
      </w:r>
    </w:p>
    <w:p>
      <w:pPr>
        <w:pStyle w:val="Normal"/>
        <w:rPr>
          <w:rFonts w:ascii="TeXGyreHeros" w:hAnsi="TeXGyreHeros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rPr>
          <w:rFonts w:ascii="TeXGyreHeros" w:hAnsi="TeXGyreHeros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 xml:space="preserve">На самом деле, авторы данной статьёй показали очень важную вещь: они очень много трудились над предобработкой данных: аугментировали, настраивали регуляризацию потоков их разбиением, строили подпорядки разбиения потоков алгоритмами кластеризации на специальной метрике, чтобы показать, что если дать LSTM подходящей структры последовательность, которая не хаотична, а можно построить её иерархию, устнановить порядок, то эта модель окажется чуть ли не на порядок лучше обычной DNN, хотя устроена проще – то есть, очень важна природа тех признаков, которые пытается «извлечь» каждый слой сети. Но, хотелось бы отметить и минусы такого подхода – это жестокий препроцессинг, делавшийся очень умными людьми. Возможно, стоило бы поискать компромисс между подготовкой данных и сложности сети для максимизации выгоды при минимуме затрат. </w:t>
      </w:r>
    </w:p>
    <w:p>
      <w:pPr>
        <w:pStyle w:val="Normal"/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ab/>
        <w:tab/>
      </w:r>
    </w:p>
    <w:p>
      <w:pPr>
        <w:pStyle w:val="Normal"/>
        <w:rPr>
          <w:rFonts w:ascii="TeXGyreHeros" w:hAnsi="TeXGyreHeros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ind w:left="0" w:hanging="0"/>
        <w:rPr>
          <w:rFonts w:ascii="TeXGyreHeros" w:hAnsi="TeXGyreHeros"/>
          <w:b w:val="false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Normal"/>
        <w:rPr/>
      </w:pPr>
      <w:r>
        <w:rPr>
          <w:rFonts w:ascii="TeXGyreHeros" w:hAnsi="TeXGyreHeros"/>
          <w:b w:val="false"/>
          <w:bCs w:val="false"/>
          <w:position w:val="0"/>
          <w:sz w:val="24"/>
          <w:sz w:val="24"/>
          <w:szCs w:val="24"/>
          <w:vertAlign w:val="baseline"/>
          <w:lang w:val="ru-RU"/>
        </w:rPr>
        <w:tab/>
        <w:tab/>
      </w:r>
    </w:p>
    <w:p>
      <w:pPr>
        <w:pStyle w:val="Normal"/>
        <w:ind w:left="0" w:right="-540" w:hanging="0"/>
        <w:rPr>
          <w:rFonts w:ascii="TeXGyreHeros" w:hAnsi="TeXGyreHeros"/>
          <w:position w:val="0"/>
          <w:sz w:val="24"/>
          <w:vertAlign w:val="baseline"/>
        </w:rPr>
      </w:pP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</w:r>
    </w:p>
    <w:p>
      <w:pPr>
        <w:pStyle w:val="Normal"/>
        <w:ind w:left="0" w:right="-540" w:hanging="0"/>
        <w:rPr>
          <w:rFonts w:ascii="TeXGyreHeros" w:hAnsi="TeXGyreHeros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</w:r>
    </w:p>
    <w:p>
      <w:pPr>
        <w:pStyle w:val="Normal"/>
        <w:ind w:left="0" w:right="-540" w:hanging="0"/>
        <w:rPr>
          <w:rFonts w:ascii="TeXGyreHeros" w:hAnsi="TeXGyreHeros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eXGyreHeros" w:hAnsi="TeXGyreHeros"/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eXGyreHeros">
    <w:charset w:val="01"/>
    <w:family w:val="auto"/>
    <w:pitch w:val="variable"/>
  </w:font>
  <w:font w:name="TeXGyreHeros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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512</Words>
  <Characters>3564</Characters>
  <CharactersWithSpaces>4071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2020-05-06T20:03:06Z</dcterms:created>
  <dc:creator/>
  <dc:description/>
  <dc:language>en-US</dc:language>
  <cp:lastModifiedBy/>
  <dcterms:modified xsi:type="dcterms:W3CDTF">2020-05-06T21:10:12Z</dcterms:modified>
  <cp:revision>1</cp:revision>
  <dc:subject/>
  <dc:title/>
</cp:coreProperties>
</file>