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qué-se-corrigió-en-el-writeup-teórico"/>
    <w:p>
      <w:pPr>
        <w:pStyle w:val="Heading1"/>
      </w:pPr>
      <w:r>
        <w:rPr/>
        <w:t>What was corrected in the theory write-up</w:t>
      </w:r>
    </w:p>
    <w:p>
      <w:pPr>
        <w:pStyle w:val="FirstParagraph"/>
      </w:pPr>
      <w:r>
        <w:rPr/>
        <w:t>Nineteen passages of the theory document changed. Nine are substantive corrections, that is, statements that were wrong and not merely badly worded, and the others are consequences of them. Each is listed below with its section and the reason.</w:t>
      </w:r>
    </w:p>
    <w:bookmarkStart w:id="9" w:name="correcciones-de-fondo"/>
    <w:p>
      <w:pPr>
        <w:pStyle w:val="Heading2"/>
      </w:pPr>
      <w:r>
        <w:rPr/>
        <w:t>Substantive corrections</w:t>
      </w:r>
    </w:p>
    <w:p>
      <w:pPr>
        <w:pStyle w:val="FirstParagraph"/>
      </w:pPr>
      <w:r>
        <w:rPr>
          <w:b/>
        </w:rPr>
        <w:t>§0.2 — One list of symbols, constants and units.</w:t>
      </w:r>
      <w:r>
        <w:rPr/>
        <w:t xml:space="preserve"> These were previously split between two tables (§0.2 for units, §0.4 for symbols), with further definitions scattered through the text of each module. There is now a single 34-row table giving the symbol, its meaning, unit, module, and how it is determined (measured / fitted / literature / fixed). The last column also answers the criterion on the use of data: for each parameter it states whether it comes from our experiments, from someone else's, or from the geometry. §0.4 was removed as redundant.</w:t>
      </w:r>
    </w:p>
    <w:p>
      <w:pPr>
        <w:pStyle w:val="BodyText"/>
      </w:pPr>
      <w:r>
        <w:rPr>
          <w:b/>
        </w:rPr>
        <w:t>§1.1 — The deliverable is the harvest titre, not the dose count.</w:t>
      </w:r>
      <w:r>
        <w:rPr/>
        <w:t xml:space="preserve"> Eq. (1.1) used to factorise doses per litre. It now factorises the concentration of loaded VLP in the harvested culture, and the dose count is stated as a derived planning figure that carries a dose size which none of our experiments constrains. The paragraph says explicitly that the earlier version placed the emphasis in the wrong place.</w:t>
      </w:r>
    </w:p>
    <w:p>
      <w:pPr>
        <w:pStyle w:val="BodyText"/>
      </w:pPr>
      <w:r>
        <w:rPr>
          <w:b/>
        </w:rPr>
        <w:t>Table 1 — Primary observables.</w:t>
      </w:r>
      <w:r>
        <w:rPr/>
        <w:t xml:space="preserve"> M1 changes from “OD₆₀₀; SDS-PAGE band volume” to “biomass (gDCW L⁻¹); CP (mg L⁻¹)”. M2 changes from “soluble : pellet band ratio” to “soluble and pellet CP (mg L⁻¹ each)”. M3 gains the quantitative TEM observable. M5 now reports a titre.</w:t>
      </w:r>
    </w:p>
    <w:p>
      <w:pPr>
        <w:pStyle w:val="BodyText"/>
      </w:pPr>
      <w:r>
        <w:rPr>
          <w:b/>
        </w:rPr>
        <w:t>§2.15 — Observation model of M1, rewritten.</w:t>
      </w:r>
      <w:r>
        <w:rPr/>
        <w:t xml:space="preserve"> Neither OD₆₀₀ nor band volume is a quantity: the first depends on the strain and the instrument, the second on loading, transfer and exposure. The model now takes biomass in gDCW L⁻¹ (through OD × K_DCW = 0.40, or wet weight × f_dry = 0.25) and protein in mg L⁻¹ by densitometry against a purified standard curve. The per-gel factor κ_g is no longer a nuisance term and is declared as what it is: the slope of the curve that converts intensity into concentration.</w:t>
      </w:r>
    </w:p>
    <w:p>
      <w:pPr>
        <w:pStyle w:val="BodyText"/>
      </w:pPr>
      <w:r>
        <w:rPr>
          <w:b/>
        </w:rPr>
        <w:t>§2.18 — The discrepancy term is no longer optional.</w:t>
      </w:r>
      <w:r>
        <w:rPr/>
        <w:t xml:space="preserve"> The document used to say that a Kennedy–O’Hagan term was “the natural next addition if out-of-sample coverage fails, and is deliberately not implemented”. The coverage did fail: 4/8 and 6/10 against a nominal 94%, in full runs of 2000 draws × 4 chains with r̂ ≤ 1.01, so it is not a sampling artefact. The section now states that no predictive interval at an unseen condition should be quoted until the term is implemented, and specifies the minimal version.</w:t>
      </w:r>
    </w:p>
    <w:p>
      <w:pPr>
        <w:pStyle w:val="BodyText"/>
      </w:pPr>
      <w:r>
        <w:rPr>
          <w:b/>
        </w:rPr>
        <w:t>§3.6 — Measured ΔE/R.</w:t>
      </w:r>
      <w:r>
        <w:rPr/>
        <w:t xml:space="preserve"> The working value was 12 000 K. Published solubility data at two induction temperatures give 20 000 K (94% CI 13 500–26 900), and the closed-form inversion gives 23 600 K. It is also written down that the prior N(10 000, 6000) K places the measured value 2.3 standard deviations into its upper tail, so it has to be recentred before our own gels are fitted. The same paragraph records the falsification test that the term passes: with s₅₀ independent of temperature, the measured increase in flux would move the soluble fraction to 0.621, whereas the data give 0.341, which is 11.6 measurement SD away.</w:t>
      </w:r>
    </w:p>
    <w:p>
      <w:pPr>
        <w:pStyle w:val="BodyText"/>
      </w:pPr>
      <w:r>
        <w:rPr>
          <w:b/>
        </w:rPr>
        <w:t>§3.13 — Saturated bands: censoring, not clipping.</w:t>
      </w:r>
      <w:r>
        <w:rPr/>
        <w:t xml:space="preserve"> The beta likelihood clipped observations to [10⁻⁶, 1−10⁻⁶] and evaluated the density there. Where the model saturates this is spurious information: 13.6% of the simulated gels came out at exactly 1.0, and the posterior was about 1.8 times too narrow for every parameter. Boundary observations now contribute the tail probability, with δ = 0.01 of lane intensity declared as a property of the densitometer (new Eq. (3.20)).</w:t>
      </w:r>
    </w:p>
    <w:p>
      <w:pPr>
        <w:pStyle w:val="BodyText"/>
      </w:pPr>
      <w:r>
        <w:rPr>
          <w:b/>
        </w:rPr>
        <w:t>§3.14 — Calibration instead of recovery.</w:t>
      </w:r>
      <w:r>
        <w:rPr/>
        <w:t xml:space="preserve"> The acceptance test of the module changes from “3 of 4 parameters recovered in one run” to simulation-based calibration over 64 replicates, which is what detected the earlier defect. The three controls that ruled out the sampler, the grid and the test itself before the observation model was blamed are recorded.</w:t>
      </w:r>
    </w:p>
    <w:p>
      <w:pPr>
        <w:pStyle w:val="BodyText"/>
      </w:pPr>
      <w:r>
        <w:rPr>
          <w:b/>
        </w:rPr>
        <w:t>§4.6 — The contact energy is no longer a placeholder.</w:t>
      </w:r>
      <w:r>
        <w:rPr/>
        <w:t xml:space="preserve"> The value of −4.2 kcal mol⁻¹ had no source. It is now obtained by inverting the published melting point of the wild-type VLP, giving −3.820 kcal mol⁻¹, with c* = 3.60 µM against 1.03 µM for the old value. The contact schedule is still a placeholder, and the section separates the two explicitly: what changed is the energy, not the shape.</w:t>
      </w:r>
    </w:p>
    <w:p>
      <w:pPr>
        <w:pStyle w:val="BodyText"/>
      </w:pPr>
      <w:r>
        <w:rPr>
          <w:b/>
        </w:rPr>
        <w:t>§4.8 — What can be asked of the microscope.</w:t>
      </w:r>
      <w:r>
        <w:rPr/>
        <w:t xml:space="preserve"> The observable is fixed in advance (≥200 particles, 27 ± 2 nm window, binomial interval), and the result is partly negative: at process concentrations the stalled material sits in small oligomers, below the resolution of the assay, so a clean count yields a bound (&lt;1.5% with 200 particles) and not an estimate. The kinetic trap is observable by SEC, not by TEM.</w:t>
      </w:r>
    </w:p>
    <w:p>
      <w:pPr>
        <w:pStyle w:val="BodyText"/>
      </w:pPr>
      <w:r>
        <w:rPr>
          <w:b/>
        </w:rPr>
        <w:t>§6.7 — The two variance decompositions, reconciled.</w:t>
      </w:r>
      <w:r>
        <w:rPr/>
        <w:t xml:space="preserve"> One assigned 89% to the capsid fraction and the other 54% to the dose size, with the capsid below 2%. Both were arithmetically correct and differed in their inputs. Decomposing the titre of Eq. (6.10), with the capsid uncertainty taken from the schedule scan, gives: purification recovery 58%, capsid 24%, loaded fraction 12%, total protein 5%, soluble fraction and TEM 1% each. The paragraph explains why the two conclusions are now compatible and not contradictory.</w:t>
      </w:r>
    </w:p>
    <w:bookmarkEnd w:id="9"/>
    <w:bookmarkStart w:id="10" w:name="lo-demás"/>
    <w:p>
      <w:pPr>
        <w:pStyle w:val="Heading2"/>
      </w:pPr>
      <w:r>
        <w:rPr/>
        <w:t>Other changes</w:t>
      </w:r>
    </w:p>
    <w:p>
      <w:pPr>
        <w:pStyle w:val="FirstParagraph"/>
      </w:pPr>
      <w:r>
        <w:rPr/>
        <w:t>Part IV (implementation and preliminary results) was replaced by a pointer to the results document, which supersedes it and contains the table of runs, the identities, the posteriors, the calibration study and the status table. References 52a–52d and 56a are new (arenin, the inflated beta, the two on simulation-based calibration, and the MS2 thermal shift), with a letter suffix so that the other eighty are not renumbered. Figure 1 was added in §1.5, the schematic of the five modules following the object being built, because the wiki review asked for a generic figure before any list of variables, and in the theory document the natural place is the modular decomposition.</w:t>
      </w:r>
    </w:p>
    <w:p>
      <w:pPr>
        <w:pStyle w:val="BodyText"/>
      </w:pPr>
      <w:r>
        <w:rPr/>
        <w:t>What was not touched: the derivations. Propositions 2.1 and 3.1 and Eqs. (2.1)–(6.11) are unchanged, except for the two whose content changed, (1.1) and (6.10), and the new (3.20). The assumption tree, the evidence classes and the A/B/C confidence levels remain as they were: they are still the scaffolding that makes it possible to say how much weight each sentence carries.</w:t>
      </w:r>
    </w:p>
    <w:bookmarkEnd w:id="10"/>
    <w:bookmarkEnd w:id="11"/>
    <w:sectPr w:rsidR="003471E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62CC871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11"/>
    <w:multiLevelType w:val="multilevel"/>
    <w:tmpl w:val="5BA2CF2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505903280" w:numId="1">
    <w:abstractNumId w:val="0"/>
  </w:num>
  <w:num w16cid:durableId="1838424356"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9703610"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61740675"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821384"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471E0"/>
    <w:rsid w:val="00103E77"/>
    <w:rsid w:val="00107C95"/>
    <w:rsid w:val="0012574A"/>
    <w:rsid w:val="001679CC"/>
    <w:rsid w:val="003471E0"/>
    <w:rsid w:val="00483F27"/>
    <w:rsid w:val="00495D45"/>
    <w:rsid w:val="005E238D"/>
    <w:rsid w:val="005E7CF8"/>
    <w:rsid w:val="00694C79"/>
    <w:rsid w:val="006A0E06"/>
    <w:rsid w:val="008D63F7"/>
    <w:rsid w:val="009671BA"/>
    <w:rsid w:val="009B1604"/>
    <w:rsid w:val="00A810A8"/>
    <w:rsid w:val="00A81BCB"/>
    <w:rsid w:val="00BD74D7"/>
    <w:rsid w:val="00C57C6B"/>
    <w:rsid w:val="00C93E14"/>
    <w:rsid w:val="00D6365B"/>
    <w:rsid w:val="00D73B24"/>
    <w:rsid w:val="00E27792"/>
    <w:rsid w:val="00E33CD6"/>
    <w:rsid w:val="00FD49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33"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483F27"/>
    <w:pPr>
      <w:spacing w:after="100"/>
    </w:pPr>
  </w:style>
  <w:style w:styleId="TOC2" w:type="paragraph">
    <w:name w:val="toc 2"/>
    <w:basedOn w:val="Normal"/>
    <w:next w:val="Normal"/>
    <w:autoRedefine/>
    <w:uiPriority w:val="39"/>
    <w:rsid w:val="00483F27"/>
    <w:pPr>
      <w:spacing w:after="100"/>
      <w:ind w:left="240"/>
    </w:pPr>
  </w:style>
  <w:style w:styleId="TOC3" w:type="paragraph">
    <w:name w:val="toc 3"/>
    <w:basedOn w:val="Normal"/>
    <w:next w:val="Normal"/>
    <w:autoRedefine/>
    <w:uiPriority w:val="39"/>
    <w:rsid w:val="00483F2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10743</Words>
  <Characters>61237</Characters>
  <Application>Microsoft Office Word</Application>
  <DocSecurity>0</DocSecurity>
  <Lines>510</Lines>
  <Paragraphs>143</Paragraphs>
  <ScaleCrop>false</ScaleCrop>
  <Company/>
  <LinksUpToDate>false</LinksUpToDate>
  <CharactersWithSpaces>71837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2026-10-16T23:32:26Z</dcterms:created>
  <dcterms:modified xsi:type="dcterms:W3CDTF">2026-10-16T23:32:26Z</dcterms:modified>
  <dc:language>en-US</dc:language>
</cp:coreProperties>
</file>

<file path=docProps/custom.xml><?xml version="1.0" encoding="utf-8"?>
<Properties xmlns="http://schemas.openxmlformats.org/officeDocument/2006/custom-properties" xmlns:vt="http://schemas.openxmlformats.org/officeDocument/2006/docPropsVTypes"/>
</file>