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Default Extension="emf" ContentType="image/x-em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GeneratedTitle"/>
      </w:pPr>
      <w:r>
        <w:rPr>
          <w:i/>
          <w:lang w:val="en"/>
        </w:rPr>
        <w:t xml:space="preserve">Philoxenos of Mabbug | The Syriac Prosopography</w:t>
      </w:r>
    </w:p>
    <w:p>
      <w:pPr>
        <w:pStyle w:val="ListContinue"/>
        <w:numPr>
          <w:ilvl w:val="0"/>
          <w:numId w:val="2"/>
        </w:numPr>
      </w:pPr>
      <w:r>
        <w:rPr>
          <w:rStyle w:val="teipersName"/>
        </w:rPr>
        <w:t>Philoxenos of
                  Mabbug</w:t>
      </w:r>
      <w:r>
        <w:rPr>
          <w:rStyle w:val="teipersName"/>
        </w:rPr>
        <w:t>Mar Philoxenus of
                     Mabug</w:t>
      </w:r>
      <w:r>
        <w:rPr>
          <w:rStyle w:val="teipersName"/>
        </w:rPr>
        <w:t>مار فيلكسينس
                     المنبجي</w:t>
      </w:r>
      <w:r>
        <w:rPr>
          <w:rStyle w:val="teipersName"/>
        </w:rPr>
        <w:t>ܡܪܝ
                     ܦܝܠܠܘܟܣܝܢܘܣ ܕܡܒܘܓ</w:t>
      </w:r>
      <w:r>
        <w:rPr>
          <w:rStyle w:val="teipersName"/>
        </w:rPr>
        <w:t>ܡܳܪܝ
                     ܦܺܝܠܠܘܟܣܺܝܢܘܣ ܕܡܰܒܘܓ</w:t>
      </w:r>
      <w:r>
        <w:rPr>
          <w:rStyle w:val="teipersName"/>
        </w:rPr>
        <w:t>Philoxenos Von
                  Mabbug</w:t>
      </w:r>
      <w:r>
        <w:rPr/>
        <w:t xml:space="preserve">http://syriaca.org/person/44</w:t>
      </w:r>
      <w:r>
        <w:rPr/>
        <w:t xml:space="preserve">http://viaf.org/viaf/54187001</w:t>
      </w:r>
      <w:r>
        <w:rPr/>
        <w:t xml:space="preserve">http://worldcat.org/identities/lccn-n79-8221</w:t>
      </w:r>
      <w:r>
        <w:rPr/>
        <w:t xml:space="preserve">http://viaf.org/hosted/syriac/35934/</w:t>
      </w:r>
      <w:r>
        <w:rPr/>
        <w:t xml:space="preserve">http://viaf.org/hosted/syriac/28554</w:t>
      </w:r>
      <w:r>
        <w:rPr/>
        <w:t xml:space="preserve">http://d-nb.info/gnd/118505122</w:t>
      </w:r>
      <w:r>
        <w:rPr/>
        <w:t xml:space="preserve">http://viaf.org/hosted/syriac/30135/</w:t>
      </w:r>
      <w:r>
        <w:rPr/>
        <w:t xml:space="preserve">http://viaf.org/hosted/syriac/25768/</w:t>
      </w:r>
      <w:r>
        <w:rPr/>
        <w:t xml:space="preserve">http://worldcat.org/identities/np-philoxenus$bishop of hierapolis$6th cent</w:t>
      </w:r>
      <w:r>
        <w:rPr/>
        <w:t xml:space="preserve">http://worldcat.org/identities/np-philoxenus$mabbugensis</w:t>
      </w:r>
      <w:r>
        <w:rPr/>
        <w:t xml:space="preserve">http://worldcat.org/identities/np-philoxenus$mabbugensis$ca440 523</w:t>
      </w:r>
      <w:r>
        <w:rPr/>
        <w:t xml:space="preserve">http://viaf.org/viaf/218739175</w:t>
      </w:r>
      <w:r>
        <w:rPr/>
        <w:t xml:space="preserve">http://viaf.org/viaf/59485487</w:t>
      </w:r>
      <w:r>
        <w:rPr/>
        <w:t xml:space="preserve">http://viaf.org/viaf/88004180</w:t>
      </w:r>
    </w:p>
    <w:p>
      <w:pPr>
        <w:pStyle w:val="ListContinue"/>
        <w:numPr>
          <w:ilvl w:val="0"/>
          <w:numId w:val="2"/>
        </w:numPr>
      </w:pPr>
      <w:r>
        <w:rPr/>
        <w:t xml:space="preserve">ca. 440s? to 523</w:t>
      </w:r>
      <w:r>
        <w:rPr>
          <w:rStyle w:val="teiplaceName"/>
        </w:rPr>
        <w:t>Mabbug</w:t>
      </w:r>
    </w:p>
    <w:p>
      <w:pPr>
        <w:pStyle w:val="ListContinue"/>
        <w:numPr>
          <w:ilvl w:val="0"/>
          <w:numId w:val="2"/>
        </w:numPr>
      </w:pPr>
      <w:r>
        <w:rPr>
          <w:rStyle w:val="teiplaceName"/>
        </w:rPr>
        <w:t>Beth Garmai</w:t>
      </w:r>
    </w:p>
    <w:p>
      <w:pPr>
        <w:pStyle w:val="ListContinue"/>
        <w:numPr>
          <w:ilvl w:val="0"/>
          <w:numId w:val="2"/>
        </w:numPr>
      </w:pPr>
      <w:r>
        <w:rPr>
          <w:rStyle w:val="teiplaceName"/>
        </w:rPr>
        <w:t/>
      </w:r>
    </w:p>
    <w:p>
      <w:pPr>
        <w:pStyle w:val="ListContinue"/>
        <w:numPr>
          <w:ilvl w:val="0"/>
          <w:numId w:val="2"/>
        </w:numPr>
      </w:pPr>
      <w:r>
        <w:rPr/>
        <w:t xml:space="preserve">523</w:t>
      </w:r>
    </w:p>
    <w:p>
      <w:pPr>
        <w:pStyle w:val="ListContinue"/>
        <w:numPr>
          <w:ilvl w:val="0"/>
          <w:numId w:val="2"/>
        </w:numPr>
      </w:pPr>
      <w:r>
        <w:br/>
      </w:r>
    </w:p>
    <w:p>
      <w:pPr>
        <w:pStyle w:val="ListContinue"/>
        <w:numPr>
          <w:ilvl w:val="0"/>
          <w:numId w:val="2"/>
        </w:numPr>
      </w:pPr>
      <w:r>
        <w:rPr/>
        <w:t xml:space="preserve"> Metropolitan Bishop</w:t>
      </w:r>
    </w:p>
    <w:p>
      <w:pPr>
        <w:pStyle w:val="ListContinue"/>
        <w:numPr>
          <w:ilvl w:val="0"/>
          <w:numId w:val="2"/>
        </w:numPr>
      </w:pPr>
      <w:r>
        <w:rPr>
          <w:i/>
        </w:rPr>
        <w:t xml:space="preserve">School of </w:t>
      </w:r>
      <w:r>
        <w:rPr>
          <w:rStyle w:val="teiplaceName"/>
        </w:rPr>
        <w:t>Edessa</w:t>
      </w:r>
    </w:p>
    <w:p>
      <w:pPr>
        <w:pStyle w:val="ListContinue"/>
        <w:numPr>
          <w:ilvl w:val="0"/>
          <w:numId w:val="2"/>
        </w:numPr>
      </w:pPr>
      <w:r>
        <w:rPr/>
        <w:t xml:space="preserve"> Syrian Orthodox</w:t>
      </w:r>
    </w:p>
    <w:p>
      <w:pPr>
        <w:pStyle w:val="ListContinue"/>
        <w:numPr>
          <w:ilvl w:val="0"/>
          <w:numId w:val="2"/>
        </w:numPr>
      </w:pPr>
      <w:r>
        <w:rPr/>
        <w:t xml:space="preserve">Short Biography</w:t>
      </w:r>
    </w:p>
    <w:p>
      <w:pPr>
        <w:pStyle w:val="ListContinue"/>
        <w:numPr>
          <w:ilvl w:val="0"/>
          <w:numId w:val="2"/>
        </w:numPr>
      </w:pPr>
      <w:bookmarkStart w:id="10001" w:name="abstract-44"/>
      <w:r>
        <w:rPr/>
        <w:t xml:space="preserve">Metropolitan bp. of Mabbug (modern Membij/ancient Hierapolis) (485-519), ascetic theologian, christological polemicist, and sponsor of the Philoxenian NT. </w:t>
      </w:r>
      <w:bookmarkEnd w:id="10001"/>
    </w:p>
    <w:p>
      <w:pPr>
        <w:pStyle w:val="ListContinue"/>
        <w:numPr>
          <w:ilvl w:val="0"/>
          <w:numId w:val="2"/>
        </w:numPr>
      </w:pPr>
      <w:r>
        <w:rPr>
          <w:rStyle w:val="teiplaceName"/>
        </w:rPr>
        <w:t>Mabbug</w:t>
      </w:r>
    </w:p>
    <w:p>
      <w:pPr>
        <w:pStyle w:val="ListContinue"/>
        <w:numPr>
          <w:ilvl w:val="0"/>
          <w:numId w:val="2"/>
        </w:numPr>
      </w:pPr>
      <w:r>
        <w:rPr/>
        <w:t xml:space="preserve">Supporting the Henotikon, Philoxenos visited Constantinople in 484 to offer Zeno a Miaphysite profession of faith.</w:t>
      </w:r>
    </w:p>
    <w:p>
      <w:pPr>
        <w:pStyle w:val="ListContinue"/>
        <w:numPr>
          <w:ilvl w:val="0"/>
          <w:numId w:val="2"/>
        </w:numPr>
      </w:pPr>
      <w:r>
        <w:rPr/>
        <w:t xml:space="preserve">After the restoration of </w:t>
      </w:r>
      <w:r>
        <w:rPr>
          <w:rStyle w:val="teipersName"/>
        </w:rPr>
        <w:t>Peter the Fuller</w:t>
      </w:r>
      <w:r>
        <w:rPr/>
        <w:t xml:space="preserve"> as patriarch of Antioch. Philoxenos was named metropolitan of </w:t>
      </w:r>
      <w:r>
        <w:rPr>
          <w:rStyle w:val="teiplaceName"/>
        </w:rPr>
        <w:t>Mabbug</w:t>
      </w:r>
    </w:p>
    <w:p>
      <w:pPr>
        <w:pStyle w:val="ListContinue"/>
        <w:numPr>
          <w:ilvl w:val="0"/>
          <w:numId w:val="2"/>
        </w:numPr>
      </w:pPr>
      <w:r>
        <w:rPr>
          <w:i/>
        </w:rPr>
        <w:t xml:space="preserve">The Gorgias Encyclopedic Dictionary of the Syriac Heritage</w:t>
      </w:r>
      <w:r>
        <w:rPr>
          <w:rStyle w:val="teiabbr"/>
        </w:rPr>
        <w:t>GEDSH</w:t>
      </w:r>
      <w:r>
        <w:fldChar w:fldCharType="begin"/>
      </w:r>
      <w:r>
        <w:instrText>HYPERLINK "http://syriaca.org/bibl/1" \h</w:instrText>
      </w:r>
      <w:r>
        <w:fldChar w:fldCharType="separate"/>
      </w:r>
      <w:r>
        <w:rPr/>
        <w:t>http://syriaca.org/bibl/1</w:t>
      </w:r>
      <w:r>
        <w:fldChar w:fldCharType="end"/>
      </w:r>
    </w:p>
    <w:p>
      <w:pPr>
        <w:pStyle w:val="ListContinue"/>
        <w:numPr>
          <w:ilvl w:val="0"/>
          <w:numId w:val="2"/>
        </w:numPr>
      </w:pPr>
      <w:r>
        <w:rPr/>
        <w:t xml:space="preserve">428</w:t>
      </w:r>
    </w:p>
    <w:p>
      <w:pPr>
        <w:pStyle w:val="ListContinue"/>
        <w:numPr>
          <w:ilvl w:val="0"/>
          <w:numId w:val="2"/>
        </w:numPr>
      </w:pPr>
      <w:r>
        <w:rPr>
          <w:i/>
        </w:rPr>
        <w:t xml:space="preserve">The Scattered Pearls: A History of Syriac Literature and Sciences</w:t>
      </w:r>
      <w:r>
        <w:rPr>
          <w:rStyle w:val="teiabbr"/>
        </w:rPr>
        <w:t>Barsoum (English)</w:t>
      </w:r>
      <w:r>
        <w:fldChar w:fldCharType="begin"/>
      </w:r>
      <w:r>
        <w:instrText>HYPERLINK "http://syriaca.org/bibl/4" \h</w:instrText>
      </w:r>
      <w:r>
        <w:fldChar w:fldCharType="separate"/>
      </w:r>
      <w:r>
        <w:rPr/>
        <w:t>http://syriaca.org/bibl/4</w:t>
      </w:r>
      <w:r>
        <w:fldChar w:fldCharType="end"/>
      </w:r>
    </w:p>
    <w:p>
      <w:pPr>
        <w:pStyle w:val="ListContinue"/>
        <w:numPr>
          <w:ilvl w:val="0"/>
          <w:numId w:val="2"/>
        </w:numPr>
      </w:pPr>
      <w:r>
        <w:rPr/>
        <w:t xml:space="preserve">40</w:t>
      </w:r>
    </w:p>
    <w:p>
      <w:pPr>
        <w:pStyle w:val="ListContinue"/>
        <w:numPr>
          <w:ilvl w:val="0"/>
          <w:numId w:val="2"/>
        </w:numPr>
      </w:pPr>
      <w:r>
        <w:rPr/>
        <w:t xml:space="preserve">262</w:t>
      </w:r>
    </w:p>
    <w:p>
      <w:pPr>
        <w:pStyle w:val="ListContinue"/>
        <w:numPr>
          <w:ilvl w:val="0"/>
          <w:numId w:val="2"/>
        </w:numPr>
      </w:pPr>
      <w:r>
        <w:rPr>
          <w:i/>
        </w:rPr>
        <w:t xml:space="preserve">كتاب اللؤلؤ المنثور في تاريخ العلوم والأداب السريانية</w:t>
      </w:r>
      <w:r>
        <w:rPr>
          <w:rStyle w:val="teiabbr"/>
        </w:rPr>
        <w:t>Barsoum (Arabic)</w:t>
      </w:r>
      <w:r>
        <w:fldChar w:fldCharType="begin"/>
      </w:r>
      <w:r>
        <w:instrText>HYPERLINK "http://syriaca.org/bibl/2" \h</w:instrText>
      </w:r>
      <w:r>
        <w:fldChar w:fldCharType="separate"/>
      </w:r>
      <w:r>
        <w:rPr/>
        <w:t>http://syriaca.org/bibl/2</w:t>
      </w:r>
      <w:r>
        <w:fldChar w:fldCharType="end"/>
      </w:r>
    </w:p>
    <w:p>
      <w:pPr>
        <w:pStyle w:val="ListContinue"/>
        <w:numPr>
          <w:ilvl w:val="0"/>
          <w:numId w:val="2"/>
        </w:numPr>
      </w:pPr>
      <w:r>
        <w:rPr/>
        <w:t xml:space="preserve">226</w:t>
      </w:r>
    </w:p>
    <w:p>
      <w:pPr>
        <w:pStyle w:val="ListContinue"/>
        <w:numPr>
          <w:ilvl w:val="0"/>
          <w:numId w:val="2"/>
        </w:numPr>
      </w:pPr>
      <w:r>
        <w:rPr>
          <w:i/>
        </w:rPr>
        <w:t xml:space="preserve">The Scattered Pearls: A History of Syriac Literature and Sciences</w:t>
      </w:r>
      <w:r>
        <w:rPr>
          <w:rStyle w:val="teiabbr"/>
        </w:rPr>
        <w:t>Barsoum (Syriac)</w:t>
      </w:r>
      <w:r>
        <w:fldChar w:fldCharType="begin"/>
      </w:r>
      <w:r>
        <w:instrText>HYPERLINK "http://syriaca.org/bibl/3" \h</w:instrText>
      </w:r>
      <w:r>
        <w:fldChar w:fldCharType="separate"/>
      </w:r>
      <w:r>
        <w:rPr/>
        <w:t>http://syriaca.org/bibl/3</w:t>
      </w:r>
      <w:r>
        <w:fldChar w:fldCharType="end"/>
      </w:r>
    </w:p>
    <w:p>
      <w:pPr>
        <w:pStyle w:val="ListContinue"/>
        <w:numPr>
          <w:ilvl w:val="0"/>
          <w:numId w:val="2"/>
        </w:numPr>
      </w:pPr>
      <w:r>
        <w:rPr/>
        <w:t xml:space="preserve">252</w:t>
      </w:r>
    </w:p>
    <w:p>
      <w:pPr>
        <w:pStyle w:val="ListContinue"/>
        <w:numPr>
          <w:ilvl w:val="0"/>
          <w:numId w:val="2"/>
        </w:numPr>
      </w:pPr>
      <w:r>
        <w:rPr>
          <w:i/>
        </w:rPr>
        <w:t xml:space="preserve">Deutsche Nationalbibliothek</w:t>
      </w:r>
      <w:r>
        <w:fldChar w:fldCharType="begin"/>
      </w:r>
      <w:r>
        <w:instrText>HYPERLINK "http://d-nb.info/gnd/118505122" \h</w:instrText>
      </w:r>
      <w:r>
        <w:fldChar w:fldCharType="separate"/>
      </w:r>
      <w:r>
        <w:rPr/>
        <w:t>http://d-nb.info/gnd/118505122</w:t>
      </w:r>
      <w:r>
        <w:fldChar w:fldCharType="end"/>
      </w:r>
    </w:p>
    <w:sectPr>
      <w:pgSz w:w="12240" w:h="15840"/>
      <w:pgMar w:top="1440" w:right="1440" w:bottom="1440" w:left="1440" w:gutter="0" w:footer="720" w:header="720"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>
      <w:pPr>
        <w:spacing w:after="0" w:line="240" w:lineRule="auto"/>
      </w:pPr>
      <w:r>
        <w:separator/>
      </w:r>
    </w:p>
    <w:p/>
    <w:p/>
  </w:endnote>
  <w:endnote w:type="continuationSeparator" w:id="0">
    <w:p>
      <w:pPr>
        <w:spacing w:after="0" w:line="240" w:lineRule="auto"/>
      </w:pPr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mv="urn:schemas-microsoft-com:mac:vml" xmlns:mo="http://schemas.microsoft.com/office/mac/office/2008/main" xmlns:w="http://schemas.openxmlformats.org/wordprocessingml/2006/main">
  <w:p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mv="urn:schemas-microsoft-com:mac:vml" xmlns:mo="http://schemas.microsoft.com/office/mac/office/2008/main" xmlns:w="http://schemas.openxmlformats.org/wordprocessingml/2006/main">
  <w:p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mv="urn:schemas-microsoft-com:mac:vml" xmlns:mo="http://schemas.microsoft.com/office/mac/office/2008/main" xmlns:w="http://schemas.openxmlformats.org/wordprocessingml/2006/main">
  <w:p>
    <w:r>
      <w:ptab w:relativeTo="margin" w:alignment="center" w:leader="none"/>
    </w:r>
  </w:p>
</w:ftr>
</file>

<file path=word/footnotes.xml><?xml version="1.0" encoding="utf-8"?>
<w:footnotes xmlns:w="http://schemas.openxmlformats.org/wordprocessingml/2006/main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  <w:p/>
    <w:p/>
  </w:footnote>
</w:footnotes>
</file>

<file path=word/header1.xml><?xml version="1.0" encoding="utf-8"?>
<w:hdr xmlns:mv="urn:schemas-microsoft-com:mac:vml" xmlns:mo="http://schemas.microsoft.com/office/mac/office/2008/main" xmlns:w="http://schemas.openxmlformats.org/wordprocessingml/2006/main">
  <w:p>
    <w:r>
      <w:t xml:space="preserve"> </w:t>
    </w:r>
  </w:p>
</w:hdr>
</file>

<file path=word/header2.xml><?xml version="1.0" encoding="utf-8"?>
<w:hdr xmlns:mv="urn:schemas-microsoft-com:mac:vml" xmlns:mo="http://schemas.microsoft.com/office/mac/office/2008/main" xmlns:w="http://schemas.openxmlformats.org/wordprocessingml/2006/main">
  <w:p>
    <w:r>
      <w:t xml:space="preserve"> </w:t>
    </w:r>
  </w:p>
</w:hdr>
</file>

<file path=word/header3.xml><?xml version="1.0" encoding="utf-8"?>
<w:hdr xmlns:mv="urn:schemas-microsoft-com:mac:vml" xmlns:mo="http://schemas.microsoft.com/office/mac/office/2008/main" xmlns:w="http://schemas.openxmlformats.org/wordprocessingml/2006/main">
  <w:p>
    <w:r>
      <w:t xml:space="preserve"> </w:t>
    </w:r>
  </w:p>
</w:hdr>
</file>

<file path=word/numbering.xml><?xml version="1.0" encoding="utf-8"?>
<w:numbering xmlns:w="http://schemas.openxmlformats.org/wordprocessingml/2006/main">
  <w:abstractNum w:abstractNumId="1">
    <w:multiLevelType w:val="multilevel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multilevel"/>
    <w:lvl w:ilvl="0">
      <w:start w:val="1"/>
      <w:numFmt w:val="bullet"/>
      <w:pStyle w:val="ListBullet"/>
      <w:lvlText w:val="•"/>
      <w:lvlJc w:val="left"/>
      <w:pPr>
        <w:ind w:left="360" w:hanging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</w:abstractNum>
  <w:abstractNum w:abstractNumId="3">
    <w:multiLevelType w:val="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multiLevelType w:val="multilevel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sl="http://schemas.openxmlformats.org/schemaLibrary/2006/main" xmlns:w="http://schemas.openxmlformats.org/wordprocessingml/2006/main">
  <w:zoom w:percent="100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m:mathPr xmlns:m="http://schemas.openxmlformats.org/officeDocument/2006/math"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customStyle="1" w:styleId="egXML1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2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egXML3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4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8" Type="http://schemas.openxmlformats.org/officeDocument/2006/relationships/fontTable" Target="fontTable.xml"/><Relationship Type="http://schemas.openxmlformats.org/officeDocument/2006/relationships/footer" Target="footer1.xml" Id="rId101"/><Relationship Type="http://schemas.openxmlformats.org/officeDocument/2006/relationships/footer" Target="footer2.xml" Id="rId102"/><Relationship Type="http://schemas.openxmlformats.org/officeDocument/2006/relationships/footer" Target="footer3.xml" Id="rId103"/><Relationship Type="http://schemas.openxmlformats.org/officeDocument/2006/relationships/header" Target="header1.xml" Id="rId104"/><Relationship Type="http://schemas.openxmlformats.org/officeDocument/2006/relationships/header" Target="header2.xml" Id="rId105"/><Relationship Type="http://schemas.openxmlformats.org/officeDocument/2006/relationships/header" Target="header3.xml" Id="rId106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STD_3_0_0.dotx</Template>
  <Application>TEIISO tei-docx.xsl</Application>
  <DocSecurity>0</DocSecurity>
  <SharedDoc>true</SharedDoc>
  <AppVersion>1.0</AppVersion>
</Properties>
</file>

<file path=docProps/core.xml><?xml version="1.0" encoding="utf-8"?>
<cp:coreProperties xmlns:cp="http://schemas.openxmlformats.org/package/2006/metadata/core-properties">
  <dc:title xmlns:dc="http://purl.org/dc/elements/1.1/">Philoxenos of Mabbug | The Syriac Prosopography</dc:title>
  <dc:creator xmlns:dc="http://purl.org/dc/elements/1.1/"/>
  <cp:lastModifiedBy>TEI stylesheets</cp:lastModifiedBy>
  <cp:revision>4</cp:revision>
  <dcterms:created xmlns:dcterms="http://purl.org/dc/terms/" xmlns:xsi="http://www.w3.org/2001/XMLSchema-instance" xsi:type="dcterms:W3CDTF">2011-11-05T18:44:00Z</dcterms:created>
  <dcterms:modified xmlns:dcterms="http://purl.org/dc/terms/" xmlns:xsi="http://www.w3.org/2001/XMLSchema-instance" xsi:type="dcterms:W3CDTF">2014-01-24T12:54:13Z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1001" name="TEI_toDOCX" fmtid="{D5CDD505-2E9C-101B-9397-08002B2CF9AE}">
    <vt:lpwstr>2.15.0</vt:lpwstr>
  </property>
</Properties>
</file>