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ulo"/>
      </w:pPr>
      <w:r>
        <w:t xml:space="preserve">Banda Marcial Instituto Ubatuba: Música, Disciplina e Cidadania</w:t>
      </w:r>
    </w:p>
    <w:p>
      <w:r>
        <w:rPr>
          <w:b/>
        </w:rPr>
        <w:t xml:space="preserve">Plataforma:</w:t>
      </w:r>
      <w:r>
        <w:t xml:space="preserve"> Lei de Incentivo à Cultura (Rouanet / SALIC)</w:t>
      </w:r>
    </w:p>
    <w:p>
      <w:r>
        <w:rPr>
          <w:b/>
        </w:rPr>
        <w:t xml:space="preserve">Área/nível:</w:t>
      </w:r>
      <w:r>
        <w:t xml:space="preserve"> Música · </w:t>
      </w:r>
      <w:r>
        <w:rPr>
          <w:b/>
        </w:rPr>
        <w:t xml:space="preserve">Local:</w:t>
      </w:r>
      <w:r>
        <w:t xml:space="preserve"> Ubatuba/SP · </w:t>
      </w:r>
      <w:r>
        <w:rPr>
          <w:b/>
        </w:rPr>
        <w:t xml:space="preserve">Valor estimado:</w:t>
      </w:r>
      <w:r>
        <w:t xml:space="preserve"> R$ 450.000,00</w:t>
      </w:r>
    </w:p>
    <w:p>
      <w:r>
        <w:t xml:space="preserve">Minuta de trabalho. Textos entre «...» exigem preenchimento; itens [VERIFICAR] dependem de confirmação em fonte oficial.</w:t>
      </w:r>
    </w:p>
    <w:p>
      <w:pPr>
        <w:pStyle w:val="Heading1"/>
      </w:pPr>
      <w:r>
        <w:t xml:space="preserve">Relatório de conformidade</w:t>
      </w:r>
    </w:p>
    <w:p>
      <w:r>
        <w:rPr>
          <w:b/>
        </w:rPr>
        <w:t xml:space="preserve">Situação:</w:t>
      </w:r>
      <w:r>
        <w:t xml:space="preserve"> Sem erros bloqueantes.</w:t>
      </w:r>
    </w:p>
    <w:p>
      <w:pPr>
        <w:pStyle w:val="Heading1"/>
      </w:pPr>
      <w:r>
        <w:t xml:space="preserve">1. Identificação e enquadramento</w:t>
      </w:r>
    </w:p>
    <w:p>
      <w:r>
        <w:t xml:space="preserve">Onde cadastrar: SALIC › Nova Proposta › Tipicidade/Tipologias</w:t>
      </w:r>
    </w:p>
    <w:p>
      <w:r>
        <w:rPr>
          <w:b/>
        </w:rPr>
        <w:t xml:space="preserve">Proponente:</w:t>
      </w:r>
      <w:r>
        <w:t xml:space="preserve"> Instituto Ubatuba (OSC sem fins lucrativos — saúde e educação) </w:t>
      </w:r>
      <w:r>
        <w:rPr>
          <w:b/>
        </w:rPr>
        <w:t xml:space="preserve">CNPJ:</w:t>
      </w:r>
      <w:r>
        <w:t xml:space="preserve"> «CNPJ do proponente» — </w:t>
      </w:r>
      <w:r>
        <w:rPr>
          <w:b/>
        </w:rPr>
        <w:t xml:space="preserve">Município/UF:</w:t>
      </w:r>
      <w:r>
        <w:t xml:space="preserve"> Ubatuba/SP </w:t>
      </w:r>
      <w:r>
        <w:rPr>
          <w:b/>
        </w:rPr>
        <w:t xml:space="preserve">Mecanismo adotado:</w:t>
      </w:r>
      <w:r>
        <w:t xml:space="preserve"> Art. 26 (dedução parcial) — PF 80% doação / 60% patrocínio · PJ 40% doação / 30% patrocínio </w:t>
      </w:r>
      <w:r>
        <w:rPr>
          <w:b/>
        </w:rPr>
        <w:t xml:space="preserve">Área/segmento:</w:t>
      </w:r>
      <w:r>
        <w:t xml:space="preserve"> Música (banda marcial — música instrumental)</w:t>
      </w:r>
    </w:p>
    <w:p>
      <w:r>
        <w:rPr>
          <w:b/>
        </w:rPr>
        <w:t xml:space="preserve">[VERIFICAR] Possível enquadramento no art. 18 (dedução 100%):</w:t>
      </w:r>
      <w:r>
        <w:t xml:space="preserve"> a Lei 8.313/91 admite dedução integral para </w:t>
      </w:r>
      <w:r>
        <w:rPr>
          <w:b/>
        </w:rPr>
        <w:t xml:space="preserve">música instrumental</w:t>
      </w:r>
      <w:r>
        <w:t xml:space="preserve">. Como banda marcial é essencialmente instrumental, avaliar com o MinC o enquadramento no art. 18 (mais atrativo ao patrocinador). Esta minuta adota o art. 26 de forma conservadora.</w:t>
      </w:r>
    </w:p>
    <w:p>
      <w:pPr>
        <w:pStyle w:val="Heading1"/>
      </w:pPr>
      <w:r>
        <w:t xml:space="preserve">2. Nome e resumo da proposta (objeto)</w:t>
      </w:r>
    </w:p>
    <w:p>
      <w:r>
        <w:t xml:space="preserve">Onde cadastrar: SALIC › Resumo da Proposta Cultural</w:t>
      </w:r>
    </w:p>
    <w:p>
      <w:r>
        <w:rPr>
          <w:b/>
        </w:rPr>
        <w:t xml:space="preserve">Nome:</w:t>
      </w:r>
      <w:r>
        <w:t xml:space="preserve"> Banda Marcial Instituto Ubatuba: Música, Disciplina e Cidadania</w:t>
      </w:r>
    </w:p>
    <w:p>
      <w:r>
        <w:t xml:space="preserve">Formação e manutenção de uma </w:t>
      </w:r>
      <w:r>
        <w:rPr>
          <w:b/>
        </w:rPr>
        <w:t xml:space="preserve">banda marcial com 50 integrantes</w:t>
      </w:r>
      <w:r>
        <w:t xml:space="preserve"> de Ubatuba, assim distribuídos: </w:t>
      </w:r>
      <w:r>
        <w:rPr>
          <w:b/>
        </w:rPr>
        <w:t xml:space="preserve">40 integrantes no corpo musical</w:t>
      </w:r>
      <w:r>
        <w:t xml:space="preserve"> (sopros de madeira, metais e percussão de marcha) e </w:t>
      </w:r>
      <w:r>
        <w:rPr>
          <w:b/>
        </w:rPr>
        <w:t xml:space="preserve">10 integrantes na linha de frente / color guard</w:t>
      </w:r>
      <w:r>
        <w:t xml:space="preserve"> (balizamento, bandeiras e coreografia). O projeto oferece, ao longo de 12 meses, formação musical teórica e prática, ensaios de naipe e de conjunto, treino de marcha e coreografia, e um calendário de </w:t>
      </w:r>
      <w:r>
        <w:rPr>
          <w:b/>
        </w:rPr>
        <w:t xml:space="preserve">apresentações públicas gratuitas</w:t>
      </w:r>
      <w:r>
        <w:t xml:space="preserve"> em escolas, praças e eventos cívicos do município.</w:t>
      </w:r>
    </w:p>
    <w:p>
      <w:pPr>
        <w:pStyle w:val="Heading1"/>
      </w:pPr>
      <w:r>
        <w:t xml:space="preserve">3. Objetivos</w:t>
      </w:r>
    </w:p>
    <w:p>
      <w:r>
        <w:t xml:space="preserve">Onde cadastrar: SALIC › Objetivos</w:t>
      </w:r>
    </w:p>
    <w:p>
      <w:r>
        <w:rPr>
          <w:b/>
        </w:rPr>
        <w:t xml:space="preserve">Objetivo geral:</w:t>
      </w:r>
      <w:r>
        <w:t xml:space="preserve"> formar e manter uma banda marcial de 50 integrantes em Ubatuba, promovendo educação musical de qualidade, convivência e protagonismo juvenil, com difusão cultural gratuita à população.</w:t>
      </w:r>
    </w:p>
    <w:p>
      <w:r>
        <w:rPr>
          <w:b/>
        </w:rPr>
        <w:t xml:space="preserve">Objetivos específicos:</w:t>
      </w:r>
      <w:r>
        <w:t xml:space="preserve"> 1. Oferecer formação musical continuada a 40 integrantes do corpo musical (leitura, técnica instrumental e prática de conjunto). 2. Formar e treinar 10 integrantes da linha de frente (color guard) em balizamento, manejo de bandeiras e coreografia. 3. Realizar ao menos 8 apresentações públicas gratuitas ao longo do projeto, com recursos de acessibilidade. 4. Fortalecer permanência escolar, disciplina e habilidades socioemocionais por meio da prática coletiva. 5. Garantir o acesso de pessoas com deficiência às atividades e às apresentações.</w:t>
      </w:r>
    </w:p>
    <w:p>
      <w:pPr>
        <w:pStyle w:val="Heading1"/>
      </w:pPr>
      <w:r>
        <w:t xml:space="preserve">4. Justificativa</w:t>
      </w:r>
    </w:p>
    <w:p>
      <w:r>
        <w:t xml:space="preserve">Onde cadastrar: SALIC › Justificativa</w:t>
      </w:r>
    </w:p>
    <w:p>
      <w:r>
        <w:t xml:space="preserve">A banda marcial é uma prática cultural coletiva de forte tradição cívica e educativa no Brasil, que articula formação artística, disciplina e pertencimento comunitário. Em Ubatuba, «apresentar diagnóstico local: oferta limitada de formação musical continuada, demanda de crianças e jovens da rede pública, ausência de banda ativa no calendário cívico do município». A iniciativa dialoga com projetos de banda e fanfarra já aprovados na Lei Rouanet — como a *Fanfarra de Percussão de Rolândia* e a banda *Música de Ribeirão* — que comprovam a viabilidade técnica e orçamentária deste formato. O investimento em instrumentos, uniformes e equipe qualificada constitui patrimônio cultural duradouro, com impacto que se estende para além da vigência do projeto.</w:t>
      </w:r>
    </w:p>
    <w:p>
      <w:pPr>
        <w:pStyle w:val="Heading1"/>
      </w:pPr>
      <w:r>
        <w:t xml:space="preserve">5. Acessibilidade (OBRIGATÓRIA)</w:t>
      </w:r>
    </w:p>
    <w:p>
      <w:r>
        <w:t xml:space="preserve">Onde cadastrar: SALIC › Acessibilidade</w:t>
      </w:r>
    </w:p>
    <w:p>
      <w:r>
        <w:t xml:space="preserve">Medidas nas três dimensões exigidas (Lei 13.146/2015; art. 38 da IN 29/2026):</w:t>
      </w:r>
    </w:p>
    <w:p>
      <w:pPr>
        <w:pStyle w:val="ListaMarc"/>
      </w:pPr>
      <w:r>
        <w:rPr>
          <w:b/>
        </w:rPr>
        <w:t xml:space="preserve">Arquitetônica:</w:t>
      </w:r>
      <w:r>
        <w:t xml:space="preserve"> apresentações em espaços com acesso a pessoas com mobilidade reduzida (rampas, espaços reservados).</w:t>
      </w:r>
    </w:p>
    <w:p>
      <w:pPr>
        <w:pStyle w:val="ListaMarc"/>
      </w:pPr>
      <w:r>
        <w:rPr>
          <w:b/>
        </w:rPr>
        <w:t xml:space="preserve">Comunicacional/de conteúdo:</w:t>
      </w:r>
      <w:r>
        <w:t xml:space="preserve"> intérprete de Libras nas apresentações e materiais de divulgação em formato acessível; abertura de vagas na banda a pessoas com deficiência compatível com a prática.</w:t>
      </w:r>
    </w:p>
    <w:p>
      <w:pPr>
        <w:pStyle w:val="ListaMarc"/>
      </w:pPr>
      <w:r>
        <w:rPr>
          <w:b/>
        </w:rPr>
        <w:t xml:space="preserve">De comunicação/divulgação acessível:</w:t>
      </w:r>
      <w:r>
        <w:t xml:space="preserve"> peças com descrição textual e legendas.</w:t>
      </w:r>
    </w:p>
    <w:p>
      <w:r>
        <w:t xml:space="preserve">Custos de acessibilidade + divulgação acessível previstos: R$ 36.000,00 (8% — dentro do teto de 20%, art. 20).</w:t>
      </w:r>
    </w:p>
    <w:p>
      <w:pPr>
        <w:pStyle w:val="Heading1"/>
      </w:pPr>
      <w:r>
        <w:t xml:space="preserve">6. Democratização de acesso</w:t>
      </w:r>
    </w:p>
    <w:p>
      <w:r>
        <w:t xml:space="preserve">Onde cadastrar: SALIC › Democratização de Acesso</w:t>
      </w:r>
    </w:p>
    <w:p>
      <w:r>
        <w:t xml:space="preserve">Todas as apresentações serão </w:t>
      </w:r>
      <w:r>
        <w:rPr>
          <w:b/>
        </w:rPr>
        <w:t xml:space="preserve">gratuitas</w:t>
      </w:r>
      <w:r>
        <w:t xml:space="preserve"> e realizadas em espaços públicos de ampla circulação. Seleção de integrantes com </w:t>
      </w:r>
      <w:r>
        <w:rPr>
          <w:b/>
        </w:rPr>
        <w:t xml:space="preserve">prioridade a estudantes da rede pública</w:t>
      </w:r>
      <w:r>
        <w:t xml:space="preserve"> e a jovens em situação de vulnerabilidade, por edital simples de inscrição. Contrapartida social: ações formativas (oficinas abertas de percussão e sopros) para a comunidade, alcançando ≥10% do público das apresentações (mín. 20, máx. 500 beneficiários — art. 44).</w:t>
      </w:r>
    </w:p>
    <w:p>
      <w:pPr>
        <w:pStyle w:val="Heading1"/>
      </w:pPr>
      <w:r>
        <w:t xml:space="preserve">7. Plano de distribuição do produto cultural</w:t>
      </w:r>
    </w:p>
    <w:p>
      <w:r>
        <w:t xml:space="preserve">Onde cadastrar: SALIC › Plano de Distribuição</w:t>
      </w:r>
    </w:p>
    <w:p>
      <w:r>
        <w:rPr>
          <w:b/>
        </w:rPr>
        <w:t xml:space="preserve">Produto principal:</w:t>
      </w:r>
      <w:r>
        <w:t xml:space="preserve"> apresentações públicas gratuitas da banda marcial (mínimo de 8 no período), em escolas, praças e eventos cívicos de Ubatuba. </w:t>
      </w:r>
      <w:r>
        <w:rPr>
          <w:b/>
        </w:rPr>
        <w:t xml:space="preserve">Produtos secundários / contrapartidas sociais:</w:t>
      </w:r>
      <w:r>
        <w:t xml:space="preserve"> oficinas abertas à comunidade e registro audiovisual das apresentações disponibilizado gratuitamente on-line. </w:t>
      </w:r>
      <w:r>
        <w:rPr>
          <w:b/>
        </w:rPr>
        <w:t xml:space="preserve">Forma de distribuição:</w:t>
      </w:r>
      <w:r>
        <w:t xml:space="preserve"> integralmente gratuita.</w:t>
      </w:r>
    </w:p>
    <w:p>
      <w:pPr>
        <w:pStyle w:val="Heading1"/>
      </w:pPr>
      <w:r>
        <w:t xml:space="preserve">8. Etapas de trabalho</w:t>
      </w:r>
    </w:p>
    <w:p>
      <w:r>
        <w:t xml:space="preserve">Onde cadastrar: SALIC › Etapas de Trabalho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Etapa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Descrição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Período</w:t>
            </w:r>
          </w:p>
        </w:tc>
      </w:tr>
      <w:tr>
        <w:tc>
          <w:tcPr/>
          <w:p>
            <w:r>
              <w:t xml:space="preserve">Pré-produção</w:t>
            </w:r>
          </w:p>
        </w:tc>
        <w:tc>
          <w:tcPr/>
          <w:p>
            <w:r>
              <w:t xml:space="preserve">Seleção de integrantes, contratação da equipe, aquisição de instrumentos e uniformes, montagem do plano pedagógico</w:t>
            </w:r>
          </w:p>
        </w:tc>
        <w:tc>
          <w:tcPr/>
          <w:p>
            <w:r>
              <w:t xml:space="preserve">Meses 1–2</w:t>
            </w:r>
          </w:p>
        </w:tc>
      </w:tr>
      <w:tr>
        <w:tc>
          <w:tcPr/>
          <w:p>
            <w:r>
              <w:t xml:space="preserve">Produção</w:t>
            </w:r>
          </w:p>
        </w:tc>
        <w:tc>
          <w:tcPr/>
          <w:p>
            <w:r>
              <w:t xml:space="preserve">Aulas e ensaios regulares (naipes, conjunto, marcha e linha de frente)</w:t>
            </w:r>
          </w:p>
        </w:tc>
        <w:tc>
          <w:tcPr/>
          <w:p>
            <w:r>
              <w:t xml:space="preserve">Meses 2–11</w:t>
            </w:r>
          </w:p>
        </w:tc>
      </w:tr>
      <w:tr>
        <w:tc>
          <w:tcPr/>
          <w:p>
            <w:r>
              <w:t xml:space="preserve">Divulgação</w:t>
            </w:r>
          </w:p>
        </w:tc>
        <w:tc>
          <w:tcPr/>
          <w:p>
            <w:r>
              <w:t xml:space="preserve">Campanha das apresentações, peças acessíveis, assessoria</w:t>
            </w:r>
          </w:p>
        </w:tc>
        <w:tc>
          <w:tcPr/>
          <w:p>
            <w:r>
              <w:t xml:space="preserve">Meses 3–12 (contínuo)</w:t>
            </w:r>
          </w:p>
        </w:tc>
      </w:tr>
      <w:tr>
        <w:tc>
          <w:tcPr/>
          <w:p>
            <w:r>
              <w:t xml:space="preserve">Pós-produção</w:t>
            </w:r>
          </w:p>
        </w:tc>
        <w:tc>
          <w:tcPr/>
          <w:p>
            <w:r>
              <w:t xml:space="preserve">Apresentação de encerramento, registro, avaliação e prestação de contas</w:t>
            </w:r>
          </w:p>
        </w:tc>
        <w:tc>
          <w:tcPr/>
          <w:p>
            <w:r>
              <w:t xml:space="preserve">Mês 12</w:t>
            </w:r>
          </w:p>
        </w:tc>
      </w:tr>
    </w:tbl>
    <w:p>
      <w:pPr>
        <w:pStyle w:val="Heading1"/>
      </w:pPr>
      <w:r>
        <w:t xml:space="preserve">9. Ficha técnica</w:t>
      </w:r>
    </w:p>
    <w:p>
      <w:r>
        <w:t xml:space="preserve">Onde cadastrar: SALIC › Ficha Técnica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Função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Qtde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Atribuição</w:t>
            </w:r>
          </w:p>
        </w:tc>
      </w:tr>
      <w:tr>
        <w:tc>
          <w:tcPr/>
          <w:p>
            <w:r>
              <w:t xml:space="preserve">Regente/maestro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Direção musical e artística</w:t>
            </w:r>
          </w:p>
        </w:tc>
      </w:tr>
      <w:tr>
        <w:tc>
          <w:tcPr/>
          <w:p>
            <w:r>
              <w:t xml:space="preserve">Instrutor de sopros/metais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Naipes de sopro e metal</w:t>
            </w:r>
          </w:p>
        </w:tc>
      </w:tr>
      <w:tr>
        <w:tc>
          <w:tcPr/>
          <w:p>
            <w:r>
              <w:t xml:space="preserve">Instrutor de percussão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Naipe de percussão de marcha</w:t>
            </w:r>
          </w:p>
        </w:tc>
      </w:tr>
      <w:tr>
        <w:tc>
          <w:tcPr/>
          <w:p>
            <w:r>
              <w:t xml:space="preserve">Instrutor de marcha + coreógrafo(a) da linha de frente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Balizamento, bandeiras e coreografia (color guard)</w:t>
            </w:r>
          </w:p>
        </w:tc>
      </w:tr>
      <w:tr>
        <w:tc>
          <w:tcPr/>
          <w:p>
            <w:r>
              <w:t xml:space="preserve">Coordenação executiva e administrativa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Gestão, logística e prestação de contas</w:t>
            </w:r>
          </w:p>
        </w:tc>
      </w:tr>
    </w:tbl>
    <w:p>
      <w:r>
        <w:t xml:space="preserve">_Anexar minicurrículos e portfólio da equipe conforme Anexo II da IN._</w:t>
      </w:r>
    </w:p>
    <w:p>
      <w:pPr>
        <w:pStyle w:val="Heading1"/>
      </w:pPr>
      <w:r>
        <w:t xml:space="preserve">10. Especificações técnicas do produto</w:t>
      </w:r>
    </w:p>
    <w:p>
      <w:r>
        <w:t xml:space="preserve">Onde cadastrar: SALIC › Especificações Técnicas / Sinopse</w:t>
      </w:r>
    </w:p>
    <w:p>
      <w:r>
        <w:rPr>
          <w:b/>
        </w:rPr>
        <w:t xml:space="preserve">Formação:</w:t>
      </w:r>
      <w:r>
        <w:t xml:space="preserve"> 50 integrantes — 40 no corpo musical (madeiras, metais, percussão) e 10 na linha de frente (color guard). </w:t>
      </w:r>
      <w:r>
        <w:rPr>
          <w:b/>
        </w:rPr>
        <w:t xml:space="preserve">Repertório:</w:t>
      </w:r>
      <w:r>
        <w:t xml:space="preserve"> hinos cívicos, marchas, temas populares e arranjos autorais, adequados a apresentações de rua e palco. </w:t>
      </w:r>
      <w:r>
        <w:rPr>
          <w:b/>
        </w:rPr>
        <w:t xml:space="preserve">Apresentações:</w:t>
      </w:r>
      <w:r>
        <w:t xml:space="preserve"> duração média de 30–45 min, formato marcha e/ou estática (show band).</w:t>
      </w:r>
    </w:p>
    <w:p>
      <w:pPr>
        <w:pStyle w:val="Heading1"/>
      </w:pPr>
      <w:r>
        <w:t xml:space="preserve">11. Planilha orçamentária</w:t>
      </w:r>
    </w:p>
    <w:p>
      <w:r>
        <w:t xml:space="preserve">Onde cadastrar: SALIC › Orçamento › Itens Orçamentários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Etapa/Rubrica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Descrição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Valor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%</w:t>
            </w:r>
          </w:p>
        </w:tc>
      </w:tr>
      <w:tr>
        <w:tc>
          <w:tcPr/>
          <w:p>
            <w:r>
              <w:t xml:space="preserve">producao</w:t>
            </w:r>
          </w:p>
        </w:tc>
        <w:tc>
          <w:tcPr/>
          <w:p>
            <w:r>
              <w:t xml:space="preserve">Regente/maestro, instrutores de naipe (sopros, metais, percussão), instrutor de marcha e coreógrafo da linha de frente — 12 meses</w:t>
            </w:r>
          </w:p>
        </w:tc>
        <w:tc>
          <w:tcPr/>
          <w:p>
            <w:r>
              <w:t xml:space="preserve">R$ 150.000,00</w:t>
            </w:r>
          </w:p>
        </w:tc>
        <w:tc>
          <w:tcPr/>
          <w:p>
            <w:r>
              <w:t xml:space="preserve">33,3%</w:t>
            </w:r>
          </w:p>
        </w:tc>
      </w:tr>
      <w:tr>
        <w:tc>
          <w:tcPr/>
          <w:p>
            <w:r>
              <w:t xml:space="preserve">producao</w:t>
            </w:r>
          </w:p>
        </w:tc>
        <w:tc>
          <w:tcPr/>
          <w:p>
            <w:r>
              <w:t xml:space="preserve">Aquisição e manutenção de instrumentos (sopros, metais e percussão de marcha)</w:t>
            </w:r>
          </w:p>
        </w:tc>
        <w:tc>
          <w:tcPr/>
          <w:p>
            <w:r>
              <w:t xml:space="preserve">R$ 90.000,00</w:t>
            </w:r>
          </w:p>
        </w:tc>
        <w:tc>
          <w:tcPr/>
          <w:p>
            <w:r>
              <w:t xml:space="preserve">20%</w:t>
            </w:r>
          </w:p>
        </w:tc>
      </w:tr>
      <w:tr>
        <w:tc>
          <w:tcPr/>
          <w:p>
            <w:r>
              <w:t xml:space="preserve">producao</w:t>
            </w:r>
          </w:p>
        </w:tc>
        <w:tc>
          <w:tcPr/>
          <w:p>
            <w:r>
              <w:t xml:space="preserve">Uniformes do corpo musical e da linha de frente (color guard): fardamento, bandeiras, mastros e adereços</w:t>
            </w:r>
          </w:p>
        </w:tc>
        <w:tc>
          <w:tcPr/>
          <w:p>
            <w:r>
              <w:t xml:space="preserve">R$ 35.000,00</w:t>
            </w:r>
          </w:p>
        </w:tc>
        <w:tc>
          <w:tcPr/>
          <w:p>
            <w:r>
              <w:t xml:space="preserve">7,8%</w:t>
            </w:r>
          </w:p>
        </w:tc>
      </w:tr>
      <w:tr>
        <w:tc>
          <w:tcPr/>
          <w:p>
            <w:r>
              <w:t xml:space="preserve">producao</w:t>
            </w:r>
          </w:p>
        </w:tc>
        <w:tc>
          <w:tcPr/>
          <w:p>
            <w:r>
              <w:t xml:space="preserve">Materiais e insumos: partituras/arranjos, palhetas, baquetas, óleos, cordas, peças de reposição</w:t>
            </w:r>
          </w:p>
        </w:tc>
        <w:tc>
          <w:tcPr/>
          <w:p>
            <w:r>
              <w:t xml:space="preserve">R$ 15.000,00</w:t>
            </w:r>
          </w:p>
        </w:tc>
        <w:tc>
          <w:tcPr/>
          <w:p>
            <w:r>
              <w:t xml:space="preserve">3,3%</w:t>
            </w:r>
          </w:p>
        </w:tc>
      </w:tr>
      <w:tr>
        <w:tc>
          <w:tcPr/>
          <w:p>
            <w:r>
              <w:t xml:space="preserve">producao</w:t>
            </w:r>
          </w:p>
        </w:tc>
        <w:tc>
          <w:tcPr/>
          <w:p>
            <w:r>
              <w:t xml:space="preserve">Transporte e logística das apresentações públicas no município</w:t>
            </w:r>
          </w:p>
        </w:tc>
        <w:tc>
          <w:tcPr/>
          <w:p>
            <w:r>
              <w:t xml:space="preserve">R$ 12.000,00</w:t>
            </w:r>
          </w:p>
        </w:tc>
        <w:tc>
          <w:tcPr/>
          <w:p>
            <w:r>
              <w:t xml:space="preserve">2,7%</w:t>
            </w:r>
          </w:p>
        </w:tc>
      </w:tr>
      <w:tr>
        <w:tc>
          <w:tcPr/>
          <w:p>
            <w:r>
              <w:t xml:space="preserve">producao</w:t>
            </w:r>
          </w:p>
        </w:tc>
        <w:tc>
          <w:tcPr/>
          <w:p>
            <w:r>
              <w:t xml:space="preserve">Registro e documentação das apresentações (foto/vídeo) para prestação de contas e divulgação</w:t>
            </w:r>
          </w:p>
        </w:tc>
        <w:tc>
          <w:tcPr/>
          <w:p>
            <w:r>
              <w:t xml:space="preserve">R$ 8.500,00</w:t>
            </w:r>
          </w:p>
        </w:tc>
        <w:tc>
          <w:tcPr/>
          <w:p>
            <w:r>
              <w:t xml:space="preserve">1,9%</w:t>
            </w:r>
          </w:p>
        </w:tc>
      </w:tr>
      <w:tr>
        <w:tc>
          <w:tcPr/>
          <w:p>
            <w:r>
              <w:t xml:space="preserve">acessibilidade</w:t>
            </w:r>
          </w:p>
        </w:tc>
        <w:tc>
          <w:tcPr/>
          <w:p>
            <w:r>
              <w:t xml:space="preserve">Acessibilidade e divulgação acessível: intérprete de Libras em apresentações, materiais em formato acessível, espaços reservados</w:t>
            </w:r>
          </w:p>
        </w:tc>
        <w:tc>
          <w:tcPr/>
          <w:p>
            <w:r>
              <w:t xml:space="preserve">R$ 36.000,00</w:t>
            </w:r>
          </w:p>
        </w:tc>
        <w:tc>
          <w:tcPr/>
          <w:p>
            <w:r>
              <w:t xml:space="preserve">8%</w:t>
            </w:r>
          </w:p>
        </w:tc>
      </w:tr>
      <w:tr>
        <w:tc>
          <w:tcPr/>
          <w:p>
            <w:r>
              <w:t xml:space="preserve">administracao</w:t>
            </w:r>
          </w:p>
        </w:tc>
        <w:tc>
          <w:tcPr/>
          <w:p>
            <w:r>
              <w:t xml:space="preserve">Custos de administração: coordenação executiva, contabilidade e gestão do projeto (≤15% — art. 22)</w:t>
            </w:r>
          </w:p>
        </w:tc>
        <w:tc>
          <w:tcPr/>
          <w:p>
            <w:r>
              <w:t xml:space="preserve">R$ 58.500,00</w:t>
            </w:r>
          </w:p>
        </w:tc>
        <w:tc>
          <w:tcPr/>
          <w:p>
            <w:r>
              <w:t xml:space="preserve">13%</w:t>
            </w:r>
          </w:p>
        </w:tc>
      </w:tr>
      <w:tr>
        <w:tc>
          <w:tcPr/>
          <w:p>
            <w:r>
              <w:t xml:space="preserve">captacao</w:t>
            </w:r>
          </w:p>
        </w:tc>
        <w:tc>
          <w:tcPr/>
          <w:p>
            <w:r>
              <w:t xml:space="preserve">Remuneração para captação de recursos (≤10% e teto R$ 150.000 — art. 19)</w:t>
            </w:r>
          </w:p>
        </w:tc>
        <w:tc>
          <w:tcPr/>
          <w:p>
            <w:r>
              <w:t xml:space="preserve">R$ 45.000,00</w:t>
            </w:r>
          </w:p>
        </w:tc>
        <w:tc>
          <w:tcPr/>
          <w:p>
            <w:r>
              <w:t xml:space="preserve">10%</w:t>
            </w:r>
          </w:p>
        </w:tc>
      </w:tr>
      <w:tr>
        <w:tc>
          <w:tcPr/>
          <w:p>
            <w:r>
              <w:rPr>
                <w:b/>
              </w:rPr>
              <w:t xml:space="preserve">TOTAL</w:t>
            </w:r>
          </w:p>
        </w:tc>
        <w:tc>
          <w:tcPr/>
          <w:p/>
        </w:tc>
        <w:tc>
          <w:tcPr/>
          <w:p>
            <w:r>
              <w:rPr>
                <w:b/>
              </w:rPr>
              <w:t xml:space="preserve">R$ 450.000,00</w:t>
            </w:r>
          </w:p>
        </w:tc>
        <w:tc>
          <w:tcPr/>
          <w:p>
            <w:r>
              <w:rPr>
                <w:b/>
              </w:rPr>
              <w:t xml:space="preserve">100%</w:t>
            </w:r>
          </w:p>
        </w:tc>
      </w:tr>
    </w:tbl>
    <w:p>
      <w:r>
        <w:t xml:space="preserve">_Percentuais sobre o total: produção 69%, acessibilidade 8% (≤20%), administração 13% (≤15%), captação 10% (≤10% e ≤R$150k). Compatibilize cada item com o Salic Comparar (https://aplicacoes.cultura.gov.br/comparar/)._</w:t>
      </w:r>
    </w:p>
    <w:p>
      <w:pPr>
        <w:pStyle w:val="Heading1"/>
      </w:pPr>
      <w:r>
        <w:t xml:space="preserve">12. Plano de divulgação</w:t>
      </w:r>
    </w:p>
    <w:p>
      <w:r>
        <w:t xml:space="preserve">Onde cadastrar: SALIC › (embutido em Acessibilidade de comunicação e nos custos por produto)</w:t>
      </w:r>
    </w:p>
    <w:p>
      <w:r>
        <w:t xml:space="preserve">Divulgação das apresentações em redes sociais, imprensa local e rede escolar do município, com aplicação das marcas conforme o manual da Lei Rouanet e recursos de acessibilidade (legendas e descrição textual) em todas as peças.</w:t>
      </w:r>
    </w:p>
    <w:p>
      <w:pPr>
        <w:pStyle w:val="Heading1"/>
      </w:pPr>
      <w:r>
        <w:t xml:space="preserve">13. Local de realização</w:t>
      </w:r>
    </w:p>
    <w:p>
      <w:r>
        <w:t xml:space="preserve">Onde cadastrar: SALIC › Local de Realização</w:t>
      </w:r>
    </w:p>
    <w:p>
      <w:r>
        <w:t xml:space="preserve">Sede de ensaios e apresentações em Ubatuba/SP: «indicar escola/espaço cultural para ensaios» e praças/escolas/eventos cívicos para as apresentações públicas.</w:t>
      </w:r>
    </w:p>
    <w:p>
      <w:pPr>
        <w:pStyle w:val="Heading1"/>
      </w:pPr>
      <w:r>
        <w:t xml:space="preserve">14. Referências (projetos aprovados similares)</w:t>
      </w:r>
    </w:p>
    <w:p>
      <w:pPr>
        <w:pStyle w:val="ListaMarc"/>
      </w:pPr>
      <w:r>
        <w:rPr>
          <w:b/>
        </w:rPr>
        <w:t xml:space="preserve">FANFARRA DE PERCUSSÃO DE ROLÂNDIA</w:t>
      </w:r>
      <w:r>
        <w:t xml:space="preserve"> [Música] (265236) — aprovado: R$ 172.557,00 — INSTITUTO CULTURAL E DESPORTIVO DE ROLANDIA</w:t>
      </w:r>
    </w:p>
    <w:p>
      <w:pPr>
        <w:pStyle w:val="ListaMarc"/>
      </w:pPr>
      <w:r>
        <w:rPr>
          <w:b/>
        </w:rPr>
        <w:t xml:space="preserve">Música de Ribeirão</w:t>
      </w:r>
      <w:r>
        <w:t xml:space="preserve"> [Música] (265057) — aprovado: R$ 101.098,80 — BANDA DE MUSICA LIRA JOAQUIM BRAGA</w:t>
      </w:r>
    </w:p>
    <w:p>
      <w:pPr>
        <w:pStyle w:val="ListaMarc"/>
      </w:pPr>
      <w:r>
        <w:rPr>
          <w:b/>
        </w:rPr>
        <w:t xml:space="preserve">Novo Tom</w:t>
      </w:r>
      <w:r>
        <w:t xml:space="preserve"> [Música] (265093) — aprovado: R$ 499.093,65 — FABRICA MAKERS CULTURA E ENTRETENIMENTO LTDA</w:t>
      </w:r>
    </w:p>
    <w:p>
      <w:pPr>
        <w:pStyle w:val="ListaMarc"/>
      </w:pPr>
      <w:r>
        <w:rPr>
          <w:b/>
        </w:rPr>
        <w:t xml:space="preserve">BANDALHEIRA – 70 ANOS DE MEMÓRIA, MÚSICA E CARNAVAL EM ITABIRITO</w:t>
      </w:r>
      <w:r>
        <w:t xml:space="preserve"> [Humanidades] (264979) — aprovado: R$ 675.317,50 — PLENUM BRAZIL LTDA</w:t>
      </w:r>
    </w:p>
    <w:p>
      <w:pPr>
        <w:pStyle w:val="ListaMarc"/>
      </w:pPr>
      <w:r>
        <w:rPr>
          <w:b/>
        </w:rPr>
        <w:t xml:space="preserve">Plano Anual de Atividades Favela Brass - 2027</w:t>
      </w:r>
      <w:r>
        <w:t xml:space="preserve"> [Música] (265026) — aprovado: R$ 2.201.621,60 — ASSOCIACAO MUSICAL FAVELA BRASS</w:t>
      </w:r>
    </w:p>
    <w:p>
      <w:pPr>
        <w:pStyle w:val="Heading1"/>
      </w:pPr>
      <w:r>
        <w:t xml:space="preserve">Vedações a observar</w:t>
      </w:r>
    </w:p>
    <w:p>
      <w:pPr>
        <w:pStyle w:val="ListaMarc"/>
      </w:pPr>
      <w:r>
        <w:t xml:space="preserve">Difusão de imagem de agente político (art. 32, I).</w:t>
      </w:r>
    </w:p>
    <w:p>
      <w:pPr>
        <w:pStyle w:val="ListaMarc"/>
      </w:pPr>
      <w:r>
        <w:t xml:space="preserve">Proponente ligado a agente político/servidor do MinC (art. 32, II).</w:t>
      </w:r>
    </w:p>
    <w:p>
      <w:pPr>
        <w:pStyle w:val="ListaMarc"/>
      </w:pPr>
      <w:r>
        <w:t xml:space="preserve">Proselitismo ou culto religioso (art. 32, VI).</w:t>
      </w:r>
    </w:p>
    <w:p>
      <w:pPr>
        <w:pStyle w:val="ListaMarc"/>
      </w:pPr>
      <w:r>
        <w:t xml:space="preserve">Fracionamento de projetos (art. 32, VII).</w:t>
      </w:r>
    </w:p>
    <w:p>
      <w:pPr>
        <w:pStyle w:val="Heading1"/>
      </w:pPr>
      <w:r>
        <w:t xml:space="preserve">Checklist de cadastro (passo a passo)</w:t>
      </w:r>
    </w:p>
    <w:p>
      <w:pPr>
        <w:pStyle w:val="ListaMarc"/>
      </w:pPr>
      <w:r>
        <w:t xml:space="preserve">Acesse o SALIC (https://salic.cultura.gov.br) e faça login (conta gov.br).</w:t>
      </w:r>
    </w:p>
    <w:p>
      <w:pPr>
        <w:pStyle w:val="ListaMarc"/>
      </w:pPr>
      <w:r>
        <w:t xml:space="preserve">Proposta › Listar → selecione o proponente (PJ/CNPJ) → Nova Proposta → aceite a Declaração de responsabilidade.</w:t>
      </w:r>
    </w:p>
    <w:p>
      <w:pPr>
        <w:pStyle w:val="ListaMarc"/>
      </w:pPr>
      <w:r>
        <w:t xml:space="preserve">Em Tipicidade/Tipologias, selecione o segmento Música. [VERIFICAR] elegibilidade ao art. 18 (música instrumental) vs. art. 26.</w:t>
      </w:r>
    </w:p>
    <w:p>
      <w:pPr>
        <w:pStyle w:val="ListaMarc"/>
      </w:pPr>
      <w:r>
        <w:t xml:space="preserve">Preencha Nome, Resumo (objeto — seção 2), Objetivos (seção 3) e Justificativa (seção 4).</w:t>
      </w:r>
    </w:p>
    <w:p>
      <w:pPr>
        <w:pStyle w:val="ListaMarc"/>
      </w:pPr>
      <w:r>
        <w:t xml:space="preserve">Preencha ACESSIBILIDADE (seção 5) — obrigatória, nas três dimensões.</w:t>
      </w:r>
    </w:p>
    <w:p>
      <w:pPr>
        <w:pStyle w:val="ListaMarc"/>
      </w:pPr>
      <w:r>
        <w:t xml:space="preserve">Preencha DEMOCRATIZAÇÃO DE ACESSO (seção 6) e o Plano de Distribuição (seção 7).</w:t>
      </w:r>
    </w:p>
    <w:p>
      <w:pPr>
        <w:pStyle w:val="ListaMarc"/>
      </w:pPr>
      <w:r>
        <w:t xml:space="preserve">Cadastre Etapas de Trabalho (seção 8), Ficha Técnica (seção 9) e Especificações Técnicas (seção 10).</w:t>
      </w:r>
    </w:p>
    <w:p>
      <w:pPr>
        <w:pStyle w:val="ListaMarc"/>
      </w:pPr>
      <w:r>
        <w:t xml:space="preserve">Informe o Local de Realização (seção 13).</w:t>
      </w:r>
    </w:p>
    <w:p>
      <w:pPr>
        <w:pStyle w:val="ListaMarc"/>
      </w:pPr>
      <w:r>
        <w:t xml:space="preserve">Monte o Orçamento (seção 11): itens de produção, acessibilidade (≤20%), administração (≤15%) e captação (≤10%/R$150k).</w:t>
      </w:r>
    </w:p>
    <w:p>
      <w:pPr>
        <w:pStyle w:val="ListaMarc"/>
      </w:pPr>
      <w:r>
        <w:t xml:space="preserve">Anexe os documentos do proponente e da proposta em PDF (Anexo II da IN).</w:t>
      </w:r>
    </w:p>
    <w:p>
      <w:pPr>
        <w:pStyle w:val="ListaMarc"/>
      </w:pPr>
      <w:r>
        <w:t xml:space="preserve">Confira os valores no Salic Comparar, gere o PDF e clique em Enviar proposta ao MinC.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Titulo">
    <w:name w:val="Title"/>
    <w:pPr>
      <w:spacing w:after="240"/>
    </w:pPr>
    <w:rPr>
      <w:b/>
      <w:sz w:val="40"/>
      <w:color w:val="1F4E79"/>
    </w:rPr>
  </w:style>
  <w:style w:type="paragraph" w:styleId="Heading1">
    <w:name w:val="heading 1"/>
    <w:pPr>
      <w:keepNext/>
      <w:spacing w:before="240" w:after="120"/>
    </w:pPr>
    <w:rPr>
      <w:b/>
      <w:sz w:val="30"/>
      <w:color w:val="1F4E79"/>
    </w:rPr>
  </w:style>
  <w:style w:type="paragraph" w:styleId="Heading2">
    <w:name w:val="heading 2"/>
    <w:pPr>
      <w:keepNext/>
      <w:spacing w:before="160" w:after="80"/>
    </w:pPr>
    <w:rPr>
      <w:b/>
      <w:sz w:val="26"/>
      <w:color w:val="2E74B5"/>
    </w:rPr>
  </w:style>
  <w:style w:type="paragraph" w:styleId="Heading3">
    <w:name w:val="heading 3"/>
    <w:pPr>
      <w:keepNext/>
      <w:spacing w:before="120" w:after="60"/>
    </w:pPr>
    <w:rPr>
      <w:b/>
      <w:sz w:val="24"/>
    </w:rPr>
  </w:style>
  <w:style w:type="paragraph" w:styleId="ListaMarc">
    <w:name w:val="List Bullet"/>
    <w:pPr>
      <w:numPr>
        <w:numId w:val="0"/>
      </w:numPr>
      <w:ind w:left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