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ulo"/>
      </w:pPr>
      <w:r>
        <w:t xml:space="preserve">Nossa Costa: Documentário Educativo do Litoral Norte</w:t>
      </w:r>
    </w:p>
    <w:p>
      <w:r>
        <w:rPr>
          <w:b/>
        </w:rPr>
        <w:t xml:space="preserve">Plataforma:</w:t>
      </w:r>
      <w:r>
        <w:t xml:space="preserve"> Lei de Incentivo à Cultura (Rouanet / SALIC)</w:t>
      </w:r>
    </w:p>
    <w:p>
      <w:r>
        <w:rPr>
          <w:b/>
        </w:rPr>
        <w:t xml:space="preserve">Área/nível:</w:t>
      </w:r>
      <w:r>
        <w:t xml:space="preserve"> Audiovisual · </w:t>
      </w:r>
      <w:r>
        <w:rPr>
          <w:b/>
        </w:rPr>
        <w:t xml:space="preserve">Local:</w:t>
      </w:r>
      <w:r>
        <w:t xml:space="preserve"> Ubatuba/SP · </w:t>
      </w:r>
      <w:r>
        <w:rPr>
          <w:b/>
        </w:rPr>
        <w:t xml:space="preserve">Valor estimado:</w:t>
      </w:r>
      <w:r>
        <w:t xml:space="preserve"> R$ 400.000,00</w:t>
      </w:r>
    </w:p>
    <w:p>
      <w:r>
        <w:t xml:space="preserve">Minuta de trabalho. Textos entre «...» exigem preenchimento; itens [VERIFICAR] dependem de confirmação em fonte oficial.</w:t>
      </w:r>
    </w:p>
    <w:p>
      <w:pPr>
        <w:pStyle w:val="Heading1"/>
      </w:pPr>
      <w:r>
        <w:t xml:space="preserve">Relatório de conformidade</w:t>
      </w:r>
    </w:p>
    <w:p>
      <w:r>
        <w:rPr>
          <w:b/>
        </w:rPr>
        <w:t xml:space="preserve">Situação:</w:t>
      </w:r>
      <w:r>
        <w:t xml:space="preserve"> Sem erros bloqueantes.</w:t>
      </w:r>
    </w:p>
    <w:p>
      <w:pPr>
        <w:pStyle w:val="Heading1"/>
      </w:pPr>
      <w:r>
        <w:t xml:space="preserve">1. Identificação e enquadramento</w:t>
      </w:r>
    </w:p>
    <w:p>
      <w:r>
        <w:t xml:space="preserve">Onde cadastrar: SALIC › Nova Proposta › Tipicidade/Tipologias</w:t>
      </w:r>
    </w:p>
    <w:p>
      <w:r>
        <w:rPr>
          <w:b/>
        </w:rPr>
        <w:t xml:space="preserve">Proponente:</w:t>
      </w:r>
      <w:r>
        <w:t xml:space="preserve"> Instituto Ubatuba (Organização da sociedade civil (OSC) sem fins lucrativos — saúde e educação) </w:t>
      </w:r>
      <w:r>
        <w:rPr>
          <w:b/>
        </w:rPr>
        <w:t xml:space="preserve">CNPJ:</w:t>
      </w:r>
      <w:r>
        <w:t xml:space="preserve"> «CNPJ do proponente» — </w:t>
      </w:r>
      <w:r>
        <w:rPr>
          <w:b/>
        </w:rPr>
        <w:t xml:space="preserve">Município/UF:</w:t>
      </w:r>
      <w:r>
        <w:t xml:space="preserve"> Ubatuba/SP </w:t>
      </w:r>
      <w:r>
        <w:rPr>
          <w:b/>
        </w:rPr>
        <w:t xml:space="preserve">Mecanismo:</w:t>
      </w:r>
      <w:r>
        <w:t xml:space="preserve"> Art. 26 — dedução parcial </w:t>
      </w:r>
      <w:r>
        <w:rPr>
          <w:b/>
        </w:rPr>
        <w:t xml:space="preserve">Dedução (art. 26):</w:t>
      </w:r>
      <w:r>
        <w:t xml:space="preserve"> PF 80% doação / 60% patrocínio · PJ 40% doação / 30% patrocínio </w:t>
      </w:r>
      <w:r>
        <w:rPr>
          <w:b/>
        </w:rPr>
        <w:t xml:space="preserve">Área/segmento cultural:</w:t>
      </w:r>
      <w:r>
        <w:t xml:space="preserve"> Audiovisual</w:t>
      </w:r>
    </w:p>
    <w:p>
      <w:pPr>
        <w:pStyle w:val="Heading1"/>
      </w:pPr>
      <w:r>
        <w:t xml:space="preserve">2. Nome e resumo da proposta (objeto)</w:t>
      </w:r>
    </w:p>
    <w:p>
      <w:r>
        <w:t xml:space="preserve">Onde cadastrar: SALIC › Resumo da Proposta Cultural</w:t>
      </w:r>
    </w:p>
    <w:p>
      <w:r>
        <w:rPr>
          <w:b/>
        </w:rPr>
        <w:t xml:space="preserve">Nome:</w:t>
      </w:r>
      <w:r>
        <w:t xml:space="preserve"> Nossa Costa: Documentário Educativo do Litoral Norte</w:t>
      </w:r>
    </w:p>
    <w:p>
      <w:r>
        <w:t xml:space="preserve">Documentário educativo de média-metragem sobre a cultura caiçara e o meio ambiente do litoral norte de São Paulo, com exibições públicas gratuitas em escolas da rede pública de Ubatuba e recursos plenos de acessibilidade (audiodescrição, LIBRAS e legendagem).</w:t>
      </w:r>
    </w:p>
    <w:p>
      <w:r>
        <w:t xml:space="preserve">Execução em Ubatuba/SP, para estudantes da rede pública de ensino e comunidade caiçara de Ubatuba.</w:t>
      </w:r>
    </w:p>
    <w:p>
      <w:pPr>
        <w:pStyle w:val="Heading1"/>
      </w:pPr>
      <w:r>
        <w:t xml:space="preserve">3. Objetivos</w:t>
      </w:r>
    </w:p>
    <w:p>
      <w:r>
        <w:t xml:space="preserve">Onde cadastrar: SALIC › Objetivos</w:t>
      </w:r>
    </w:p>
    <w:p>
      <w:r>
        <w:rPr>
          <w:b/>
        </w:rPr>
        <w:t xml:space="preserve">Objetivo geral:</w:t>
      </w:r>
      <w:r>
        <w:t xml:space="preserve"> «uma frase».</w:t>
      </w:r>
    </w:p>
    <w:p>
      <w:r>
        <w:rPr>
          <w:b/>
        </w:rPr>
        <w:t xml:space="preserve">Objetivos específicos:</w:t>
      </w:r>
      <w:r>
        <w:t xml:space="preserve"> 1. «...» 2. «...» 3. «Garantir acesso de pessoas com deficiência (acessibilidade)».</w:t>
      </w:r>
    </w:p>
    <w:p>
      <w:r>
        <w:t xml:space="preserve">_Evite clichês vetados pelo manual: "levar/propagar a cultura", "gerar empregos", "transformar vidas"._</w:t>
      </w:r>
    </w:p>
    <w:p>
      <w:pPr>
        <w:pStyle w:val="Heading1"/>
      </w:pPr>
      <w:r>
        <w:t xml:space="preserve">4. Justificativa</w:t>
      </w:r>
    </w:p>
    <w:p>
      <w:r>
        <w:t xml:space="preserve">Onde cadastrar: SALIC › Justificativa</w:t>
      </w:r>
    </w:p>
    <w:p>
      <w:r>
        <w:t xml:space="preserve">«Apresentar o contexto cultural de Ubatuba/SP, a relevância do segmento «Audiovisual», o diagnóstico do público-alvo e a pertinência do projeto». A proposta se apoia em projetos aprovados similares (ver referências), o que respalda a estrutura, a linguagem e o orçamento.</w:t>
      </w:r>
    </w:p>
    <w:p>
      <w:pPr>
        <w:pStyle w:val="Heading1"/>
      </w:pPr>
      <w:r>
        <w:t xml:space="preserve">5. Acessibilidade (OBRIGATÓRIA)</w:t>
      </w:r>
    </w:p>
    <w:p>
      <w:r>
        <w:t xml:space="preserve">Onde cadastrar: SALIC › Acessibilidade</w:t>
      </w:r>
    </w:p>
    <w:p>
      <w:r>
        <w:t xml:space="preserve">Medidas nas três dimensões exigidas (Lei 13.146/2015; art. 38 da IN 29/2026):</w:t>
      </w:r>
    </w:p>
    <w:p>
      <w:pPr>
        <w:pStyle w:val="ListaMarc"/>
      </w:pPr>
      <w:r>
        <w:rPr>
          <w:b/>
        </w:rPr>
        <w:t xml:space="preserve">Arquitetônica:</w:t>
      </w:r>
      <w:r>
        <w:t xml:space="preserve"> «rampas, banheiros adaptados, espaços reservados».</w:t>
      </w:r>
    </w:p>
    <w:p>
      <w:pPr>
        <w:pStyle w:val="ListaMarc"/>
      </w:pPr>
      <w:r>
        <w:rPr>
          <w:b/>
        </w:rPr>
        <w:t xml:space="preserve">Comunicacional/de conteúdo:</w:t>
      </w:r>
      <w:r>
        <w:t xml:space="preserve"> «audiodescrição, LIBRAS, legendagem, materiais em formato acessível».</w:t>
      </w:r>
    </w:p>
    <w:p>
      <w:pPr>
        <w:pStyle w:val="ListaMarc"/>
      </w:pPr>
      <w:r>
        <w:rPr>
          <w:b/>
        </w:rPr>
        <w:t xml:space="preserve">De comunicação/divulgação acessível:</w:t>
      </w:r>
      <w:r>
        <w:t xml:space="preserve"> «peças de divulgação com recursos de acessibilidade».</w:t>
      </w:r>
    </w:p>
    <w:p>
      <w:r>
        <w:t xml:space="preserve">Custos de acessibilidade + divulgação acessível: máx. 20% do projeto (art. 20).</w:t>
      </w:r>
    </w:p>
    <w:p>
      <w:pPr>
        <w:pStyle w:val="Heading1"/>
      </w:pPr>
      <w:r>
        <w:t xml:space="preserve">6. Democratização de acesso</w:t>
      </w:r>
    </w:p>
    <w:p>
      <w:r>
        <w:t xml:space="preserve">Onde cadastrar: SALIC › Democratização de Acesso</w:t>
      </w:r>
    </w:p>
    <w:p>
      <w:r>
        <w:t xml:space="preserve">«Política de gratuidade/meia-entrada, distribuição de ingressos a escolas públicas e comunidades, ações formativas». Contrapartida social: ações formativas correspondentes a ≥10% do público do produto principal (mín. 20, máx. 500 beneficiários) — art. 44.</w:t>
      </w:r>
    </w:p>
    <w:p>
      <w:pPr>
        <w:pStyle w:val="Heading1"/>
      </w:pPr>
      <w:r>
        <w:t xml:space="preserve">7. Plano de distribuição do produto cultural</w:t>
      </w:r>
    </w:p>
    <w:p>
      <w:r>
        <w:t xml:space="preserve">Onde cadastrar: SALIC › Plano de Distribuição</w:t>
      </w:r>
    </w:p>
    <w:p>
      <w:r>
        <w:rPr>
          <w:b/>
        </w:rPr>
        <w:t xml:space="preserve">Produto principal:</w:t>
      </w:r>
      <w:r>
        <w:t xml:space="preserve"> «ex.: exibições públicas gratuitas do documentário; nº de sessões». </w:t>
      </w:r>
      <w:r>
        <w:rPr>
          <w:b/>
        </w:rPr>
        <w:t xml:space="preserve">Produtos secundários / contrapartidas sociais:</w:t>
      </w:r>
      <w:r>
        <w:t xml:space="preserve"> «cópias para acervos, exibições em escolas, disponibilização on-line». </w:t>
      </w:r>
      <w:r>
        <w:rPr>
          <w:b/>
        </w:rPr>
        <w:t xml:space="preserve">Forma de distribuição:</w:t>
      </w:r>
      <w:r>
        <w:t xml:space="preserve"> «gratuita | venda | misto» — detalhar quantidades e destinos.</w:t>
      </w:r>
    </w:p>
    <w:p>
      <w:pPr>
        <w:pStyle w:val="Heading1"/>
      </w:pPr>
      <w:r>
        <w:t xml:space="preserve">8. Etapas de trabalho</w:t>
      </w:r>
    </w:p>
    <w:p>
      <w:r>
        <w:t xml:space="preserve">Onde cadastrar: SALIC › Etapas de Trabalho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Etapa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Descrição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Período</w:t>
            </w:r>
          </w:p>
        </w:tc>
      </w:tr>
      <w:tr>
        <w:tc>
          <w:tcPr/>
          <w:p>
            <w:r>
              <w:t xml:space="preserve">Pré-produção</w:t>
            </w:r>
          </w:p>
        </w:tc>
        <w:tc>
          <w:tcPr/>
          <w:p>
            <w:r>
              <w:t xml:space="preserve">«pesquisa, roteiro, contratações, licenciamentos»</w:t>
            </w:r>
          </w:p>
        </w:tc>
        <w:tc>
          <w:tcPr/>
          <w:p>
            <w:r>
              <w:t xml:space="preserve">«mês 1–2»</w:t>
            </w:r>
          </w:p>
        </w:tc>
      </w:tr>
      <w:tr>
        <w:tc>
          <w:tcPr/>
          <w:p>
            <w:r>
              <w:t xml:space="preserve">Produção</w:t>
            </w:r>
          </w:p>
        </w:tc>
        <w:tc>
          <w:tcPr/>
          <w:p>
            <w:r>
              <w:t xml:space="preserve">«gravações/execução da atividade principal»</w:t>
            </w:r>
          </w:p>
        </w:tc>
        <w:tc>
          <w:tcPr/>
          <w:p>
            <w:r>
              <w:t xml:space="preserve">«mês 3–5»</w:t>
            </w:r>
          </w:p>
        </w:tc>
      </w:tr>
      <w:tr>
        <w:tc>
          <w:tcPr/>
          <w:p>
            <w:r>
              <w:t xml:space="preserve">Divulgação</w:t>
            </w:r>
          </w:p>
        </w:tc>
        <w:tc>
          <w:tcPr/>
          <w:p>
            <w:r>
              <w:t xml:space="preserve">«campanha, peças, assessoria — inclui divulgação acessível»</w:t>
            </w:r>
          </w:p>
        </w:tc>
        <w:tc>
          <w:tcPr/>
          <w:p>
            <w:r>
              <w:t xml:space="preserve">«mês 5–6»</w:t>
            </w:r>
          </w:p>
        </w:tc>
      </w:tr>
      <w:tr>
        <w:tc>
          <w:tcPr/>
          <w:p>
            <w:r>
              <w:t xml:space="preserve">Pós-produção</w:t>
            </w:r>
          </w:p>
        </w:tc>
        <w:tc>
          <w:tcPr/>
          <w:p>
            <w:r>
              <w:t xml:space="preserve">«edição, finalização, distribuição, prestação de contas»</w:t>
            </w:r>
          </w:p>
        </w:tc>
        <w:tc>
          <w:tcPr/>
          <w:p>
            <w:r>
              <w:t xml:space="preserve">«mês 6–7»</w:t>
            </w:r>
          </w:p>
        </w:tc>
      </w:tr>
    </w:tbl>
    <w:p>
      <w:pPr>
        <w:pStyle w:val="Heading1"/>
      </w:pPr>
      <w:r>
        <w:t xml:space="preserve">9. Ficha técnica</w:t>
      </w:r>
    </w:p>
    <w:p>
      <w:r>
        <w:t xml:space="preserve">Onde cadastrar: SALIC › Ficha Técnica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Função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Profissional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Qualificação</w:t>
            </w:r>
          </w:p>
        </w:tc>
      </w:tr>
      <w:tr>
        <w:tc>
          <w:tcPr/>
          <w:p>
            <w:r>
              <w:t xml:space="preserve">Coordenação/direção</w:t>
            </w:r>
          </w:p>
        </w:tc>
        <w:tc>
          <w:tcPr/>
          <w:p>
            <w:r>
              <w:t xml:space="preserve">«nome»</w:t>
            </w:r>
          </w:p>
        </w:tc>
        <w:tc>
          <w:tcPr/>
          <w:p>
            <w:r>
              <w:t xml:space="preserve">«currículo resumido»</w:t>
            </w:r>
          </w:p>
        </w:tc>
      </w:tr>
      <w:tr>
        <w:tc>
          <w:tcPr/>
          <w:p>
            <w:r>
              <w:t xml:space="preserve">Equipe técnica principal</w:t>
            </w:r>
          </w:p>
        </w:tc>
        <w:tc>
          <w:tcPr/>
          <w:p>
            <w:r>
              <w:t xml:space="preserve">«...»</w:t>
            </w:r>
          </w:p>
        </w:tc>
        <w:tc>
          <w:tcPr/>
          <w:p>
            <w:r>
              <w:t xml:space="preserve">«...»</w:t>
            </w:r>
          </w:p>
        </w:tc>
      </w:tr>
      <w:tr>
        <w:tc>
          <w:tcPr/>
          <w:p>
            <w:r>
              <w:t xml:space="preserve">Responsável por acessibilidade</w:t>
            </w:r>
          </w:p>
        </w:tc>
        <w:tc>
          <w:tcPr/>
          <w:p>
            <w:r>
              <w:t xml:space="preserve">«...»</w:t>
            </w:r>
          </w:p>
        </w:tc>
        <w:tc>
          <w:tcPr/>
          <w:p>
            <w:r>
              <w:t xml:space="preserve">«...»</w:t>
            </w:r>
          </w:p>
        </w:tc>
      </w:tr>
    </w:tbl>
    <w:p>
      <w:r>
        <w:t xml:space="preserve">_Anexar minicurrículos e portfólio conforme Anexo II da IN._</w:t>
      </w:r>
    </w:p>
    <w:p>
      <w:pPr>
        <w:pStyle w:val="Heading1"/>
      </w:pPr>
      <w:r>
        <w:t xml:space="preserve">10. Especificações técnicas do produto</w:t>
      </w:r>
    </w:p>
    <w:p>
      <w:r>
        <w:t xml:space="preserve">Onde cadastrar: SALIC › Especificações Técnicas / Sinopse</w:t>
      </w:r>
    </w:p>
    <w:p>
      <w:r>
        <w:rPr>
          <w:b/>
        </w:rPr>
        <w:t xml:space="preserve">Sinopse:</w:t>
      </w:r>
      <w:r>
        <w:t xml:space="preserve"> «resumo da obra/produto». </w:t>
      </w:r>
      <w:r>
        <w:rPr>
          <w:b/>
        </w:rPr>
        <w:t xml:space="preserve">Especificações:</w:t>
      </w:r>
      <w:r>
        <w:t xml:space="preserve"> «formato, duração, tiragem, suporte, idioma, classificação — conforme o segmento».</w:t>
      </w:r>
    </w:p>
    <w:p>
      <w:pPr>
        <w:pStyle w:val="Heading1"/>
      </w:pPr>
      <w:r>
        <w:t xml:space="preserve">11. Planilha orçamentária</w:t>
      </w:r>
    </w:p>
    <w:p>
      <w:r>
        <w:t xml:space="preserve">Onde cadastrar: SALIC › Orçamento › Itens Orçamentários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shd w:val="clear" w:color="auto" w:fill="EFEFEF"/>
          </w:tcPr>
          <w:p>
            <w:r>
              <w:rPr>
                <w:b/>
              </w:rPr>
              <w:t xml:space="preserve">Rubrica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Descrição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Valor</w:t>
            </w:r>
          </w:p>
        </w:tc>
        <w:tc>
          <w:tcPr>
            <w:shd w:val="clear" w:color="auto" w:fill="EFEFEF"/>
          </w:tcPr>
          <w:p>
            <w:r>
              <w:rPr>
                <w:b/>
              </w:rPr>
              <w:t xml:space="preserve">Limite</w:t>
            </w:r>
          </w:p>
        </w:tc>
      </w:tr>
      <w:tr>
        <w:tc>
          <w:tcPr/>
          <w:p>
            <w:r>
              <w:t xml:space="preserve">Produção (custos por produto)</w:t>
            </w:r>
          </w:p>
        </w:tc>
        <w:tc>
          <w:tcPr/>
          <w:p>
            <w:r>
              <w:t xml:space="preserve">Execução direta</w:t>
            </w:r>
          </w:p>
        </w:tc>
        <w:tc>
          <w:tcPr/>
          <w:p>
            <w:r>
              <w:t xml:space="preserve">R$ 272.000,00</w:t>
            </w:r>
          </w:p>
        </w:tc>
        <w:tc>
          <w:tcPr/>
          <w:p>
            <w:r>
              <w:t xml:space="preserve">—</w:t>
            </w:r>
          </w:p>
        </w:tc>
      </w:tr>
      <w:tr>
        <w:tc>
          <w:tcPr/>
          <w:p>
            <w:r>
              <w:t xml:space="preserve">Acessibilidade + divulgação acessível</w:t>
            </w:r>
          </w:p>
        </w:tc>
        <w:tc>
          <w:tcPr/>
          <w:p>
            <w:r>
              <w:t xml:space="preserve">Recursos de acessibilidade</w:t>
            </w:r>
          </w:p>
        </w:tc>
        <w:tc>
          <w:tcPr/>
          <w:p>
            <w:r>
              <w:t xml:space="preserve">R$ 40.000,00</w:t>
            </w:r>
          </w:p>
        </w:tc>
        <w:tc>
          <w:tcPr/>
          <w:p>
            <w:r>
              <w:t xml:space="preserve">≤ 20% (art. 20)</w:t>
            </w:r>
          </w:p>
        </w:tc>
      </w:tr>
      <w:tr>
        <w:tc>
          <w:tcPr/>
          <w:p>
            <w:r>
              <w:t xml:space="preserve">Administração</w:t>
            </w:r>
          </w:p>
        </w:tc>
        <w:tc>
          <w:tcPr/>
          <w:p>
            <w:r>
              <w:t xml:space="preserve">Custos administrativos</w:t>
            </w:r>
          </w:p>
        </w:tc>
        <w:tc>
          <w:tcPr/>
          <w:p>
            <w:r>
              <w:t xml:space="preserve">R$ 48.000,00</w:t>
            </w:r>
          </w:p>
        </w:tc>
        <w:tc>
          <w:tcPr/>
          <w:p>
            <w:r>
              <w:t xml:space="preserve">≤ 15% (art. 22)</w:t>
            </w:r>
          </w:p>
        </w:tc>
      </w:tr>
      <w:tr>
        <w:tc>
          <w:tcPr/>
          <w:p>
            <w:r>
              <w:t xml:space="preserve">Captação</w:t>
            </w:r>
          </w:p>
        </w:tc>
        <w:tc>
          <w:tcPr/>
          <w:p>
            <w:r>
              <w:t xml:space="preserve">Remuneração de captação</w:t>
            </w:r>
          </w:p>
        </w:tc>
        <w:tc>
          <w:tcPr/>
          <w:p>
            <w:r>
              <w:t xml:space="preserve">R$ 40.000,00</w:t>
            </w:r>
          </w:p>
        </w:tc>
        <w:tc>
          <w:tcPr/>
          <w:p>
            <w:r>
              <w:t xml:space="preserve">≤ 10% e R$ 150k (art. 19)</w:t>
            </w:r>
          </w:p>
        </w:tc>
      </w:tr>
      <w:tr>
        <w:tc>
          <w:tcPr/>
          <w:p>
            <w:r>
              <w:rPr>
                <w:b/>
              </w:rPr>
              <w:t xml:space="preserve">TOTAL</w:t>
            </w:r>
          </w:p>
        </w:tc>
        <w:tc>
          <w:tcPr/>
          <w:p/>
        </w:tc>
        <w:tc>
          <w:tcPr/>
          <w:p>
            <w:r>
              <w:rPr>
                <w:b/>
              </w:rPr>
              <w:t xml:space="preserve">R$ 400.000,00</w:t>
            </w:r>
          </w:p>
        </w:tc>
        <w:tc>
          <w:tcPr/>
          <w:p/>
        </w:tc>
      </w:tr>
    </w:tbl>
    <w:p>
      <w:r>
        <w:t xml:space="preserve">_Compatibilize cada item com valores praticados (referência: Salic Comparar — https://aplicacoes.cultura.gov.br/comparar/)._</w:t>
      </w:r>
    </w:p>
    <w:p>
      <w:pPr>
        <w:pStyle w:val="Heading1"/>
      </w:pPr>
      <w:r>
        <w:t xml:space="preserve">12. Plano de divulgação</w:t>
      </w:r>
    </w:p>
    <w:p>
      <w:r>
        <w:t xml:space="preserve">Onde cadastrar: SALIC › (embutido em Acessibilidade de comunicação e nos custos por produto)</w:t>
      </w:r>
    </w:p>
    <w:p>
      <w:r>
        <w:t xml:space="preserve">«Estratégia de comunicação: canais, peças, cronograma, aplicação das marcas conforme manual da Lei Rouanet, e recursos de acessibilidade na divulgação».</w:t>
      </w:r>
    </w:p>
    <w:p>
      <w:pPr>
        <w:pStyle w:val="Heading1"/>
      </w:pPr>
      <w:r>
        <w:t xml:space="preserve">13. Local de realização</w:t>
      </w:r>
    </w:p>
    <w:p>
      <w:r>
        <w:t xml:space="preserve">Onde cadastrar: SALIC › Local de Realização</w:t>
      </w:r>
    </w:p>
    <w:p>
      <w:r>
        <w:t xml:space="preserve">«Municípios/espaços de execução e de fruição pública — incluir Ubatuba/SP».</w:t>
      </w:r>
    </w:p>
    <w:p>
      <w:pPr>
        <w:pStyle w:val="Heading1"/>
      </w:pPr>
      <w:r>
        <w:t xml:space="preserve">14. Referências (projetos aprovados similares)</w:t>
      </w:r>
    </w:p>
    <w:p>
      <w:pPr>
        <w:pStyle w:val="ListaMarc"/>
      </w:pPr>
      <w:r>
        <w:rPr>
          <w:b/>
        </w:rPr>
        <w:t xml:space="preserve">O Meio é o Ambiente - Águas de Piri</w:t>
      </w:r>
      <w:r>
        <w:t xml:space="preserve"> [Audiovisual] (265202) — aprovado: R$ 328.627,53 — CASA DE PRODUCAO AUDIOVISUAL DIGITAL LTDA</w:t>
      </w:r>
    </w:p>
    <w:p>
      <w:pPr>
        <w:pStyle w:val="ListaMarc"/>
      </w:pPr>
      <w:r>
        <w:rPr>
          <w:b/>
        </w:rPr>
        <w:t xml:space="preserve">O Rio que Fala</w:t>
      </w:r>
      <w:r>
        <w:t xml:space="preserve"> [Audiovisual] (265199) — aprovado: R$ 801.182,82 — CONTEUDOS DIVERSOS PRODUCOES LTDA.</w:t>
      </w:r>
    </w:p>
    <w:p>
      <w:pPr>
        <w:pStyle w:val="ListaMarc"/>
      </w:pPr>
      <w:r>
        <w:rPr>
          <w:b/>
        </w:rPr>
        <w:t xml:space="preserve">Entre a Pista e o Mundo: Corpo, Velocidade e Paixão</w:t>
      </w:r>
      <w:r>
        <w:t xml:space="preserve"> [Audiovisual] (264686) — aprovado: R$ 349.945,77 — CUT N TOUCH FILMES LTDA</w:t>
      </w:r>
    </w:p>
    <w:p>
      <w:pPr>
        <w:pStyle w:val="ListaMarc"/>
      </w:pPr>
      <w:r>
        <w:rPr>
          <w:b/>
        </w:rPr>
        <w:t xml:space="preserve">Inside Out Brasil — Websérie Documental Sobre a Cultura do Tênis</w:t>
      </w:r>
      <w:r>
        <w:t xml:space="preserve"> [Audiovisual] (265208) — aprovado: R$ 794.475,00 — GRATTITUDE FILMS PRODUCTIONS LTDA</w:t>
      </w:r>
    </w:p>
    <w:p>
      <w:pPr>
        <w:pStyle w:val="Heading1"/>
      </w:pPr>
      <w:r>
        <w:t xml:space="preserve">Vedações a observar</w:t>
      </w:r>
    </w:p>
    <w:p>
      <w:pPr>
        <w:pStyle w:val="ListaMarc"/>
      </w:pPr>
      <w:r>
        <w:t xml:space="preserve">Difusão de imagem de agente político (art. 32, I).</w:t>
      </w:r>
    </w:p>
    <w:p>
      <w:pPr>
        <w:pStyle w:val="ListaMarc"/>
      </w:pPr>
      <w:r>
        <w:t xml:space="preserve">Proponente ligado a agente político ou a servidor do MinC (art. 32, II).</w:t>
      </w:r>
    </w:p>
    <w:p>
      <w:pPr>
        <w:pStyle w:val="ListaMarc"/>
      </w:pPr>
      <w:r>
        <w:t xml:space="preserve">Administração pública direta como proponente (art. 32, III).</w:t>
      </w:r>
    </w:p>
    <w:p>
      <w:pPr>
        <w:pStyle w:val="ListaMarc"/>
      </w:pPr>
      <w:r>
        <w:t xml:space="preserve">Construção de portais, estátuas ou réplicas em logradouros (art. 32, IV).</w:t>
      </w:r>
    </w:p>
    <w:p>
      <w:pPr>
        <w:pStyle w:val="ListaMarc"/>
      </w:pPr>
      <w:r>
        <w:t xml:space="preserve">Bolsas de graduação/pós-graduação (art. 32, V).</w:t>
      </w:r>
    </w:p>
    <w:p>
      <w:pPr>
        <w:pStyle w:val="ListaMarc"/>
      </w:pPr>
      <w:r>
        <w:t xml:space="preserve">Proselitismo ou culto religioso (art. 32, VI).</w:t>
      </w:r>
    </w:p>
    <w:p>
      <w:pPr>
        <w:pStyle w:val="ListaMarc"/>
      </w:pPr>
      <w:r>
        <w:t xml:space="preserve">Fracionamento de projetos (art. 32, VII).</w:t>
      </w:r>
    </w:p>
    <w:p>
      <w:pPr>
        <w:pStyle w:val="Heading1"/>
      </w:pPr>
      <w:r>
        <w:t xml:space="preserve">Checklist de cadastro (passo a passo)</w:t>
      </w:r>
    </w:p>
    <w:p>
      <w:pPr>
        <w:pStyle w:val="ListaMarc"/>
      </w:pPr>
      <w:r>
        <w:t xml:space="preserve">Acesse o SALIC: https://salic.cultura.gov.br e faça login (conta gov.br).</w:t>
      </w:r>
    </w:p>
    <w:p>
      <w:pPr>
        <w:pStyle w:val="ListaMarc"/>
      </w:pPr>
      <w:r>
        <w:t xml:space="preserve">Menu Proposta › Listar → selecione o proponente (PF/CPF ou PJ/CNPJ) → Nova Proposta → aceite a Declaração de responsabilidade.</w:t>
      </w:r>
    </w:p>
    <w:p>
      <w:pPr>
        <w:pStyle w:val="ListaMarc"/>
      </w:pPr>
      <w:r>
        <w:t xml:space="preserve">Em "Tipicidade/Tipologias", selecione o enquadramento: Art. 26 — dedução parcial e o segmento cultural (seção 1). Isso define o teto orçamentário.</w:t>
      </w:r>
    </w:p>
    <w:p>
      <w:pPr>
        <w:pStyle w:val="ListaMarc"/>
      </w:pPr>
      <w:r>
        <w:t xml:space="preserve">Preencha Nome, "Resumo da Proposta" (objeto — seção 2), Objetivos (seção 3) e Justificativa (seção 4).</w:t>
      </w:r>
    </w:p>
    <w:p>
      <w:pPr>
        <w:pStyle w:val="ListaMarc"/>
      </w:pPr>
      <w:r>
        <w:t xml:space="preserve">Preencha ACESSIBILIDADE (seção 5) — obrigatória, nas três dimensões.</w:t>
      </w:r>
    </w:p>
    <w:p>
      <w:pPr>
        <w:pStyle w:val="ListaMarc"/>
      </w:pPr>
      <w:r>
        <w:t xml:space="preserve">Preencha DEMOCRATIZAÇÃO DE ACESSO (seção 6) e o Plano de Distribuição (seção 7, inclui Contrapartidas Sociais).</w:t>
      </w:r>
    </w:p>
    <w:p>
      <w:pPr>
        <w:pStyle w:val="ListaMarc"/>
      </w:pPr>
      <w:r>
        <w:t xml:space="preserve">Em Detalhes técnicos, cadastre Etapas de Trabalho (seção 8), Ficha Técnica (seção 9), Sinopse e Especificações Técnicas (seção 10).</w:t>
      </w:r>
    </w:p>
    <w:p>
      <w:pPr>
        <w:pStyle w:val="ListaMarc"/>
      </w:pPr>
      <w:r>
        <w:t xml:space="preserve">Em "Local de Realização", informe os locais (seção 13).</w:t>
      </w:r>
    </w:p>
    <w:p>
      <w:pPr>
        <w:pStyle w:val="ListaMarc"/>
      </w:pPr>
      <w:r>
        <w:t xml:space="preserve">Monte o Orçamento (seção 11): Custos por produto, Itens Orçamentários — respeite captação ≤10%/R$150k, admin ≤15%, acessibilidade ≤20%.</w:t>
      </w:r>
    </w:p>
    <w:p>
      <w:pPr>
        <w:pStyle w:val="ListaMarc"/>
      </w:pPr>
      <w:r>
        <w:t xml:space="preserve">Anexe os documentos do proponente e da proposta em PDF (Anexo II da IN).</w:t>
      </w:r>
    </w:p>
    <w:p>
      <w:pPr>
        <w:pStyle w:val="ListaMarc"/>
      </w:pPr>
      <w:r>
        <w:t xml:space="preserve">Gere o PDF, revise e clique em Enviar proposta ao MinC (segue para Análise e Enquadramento).</w:t>
      </w:r>
    </w:p>
    <w:p>
      <w:pPr>
        <w:pStyle w:val="ListaMarc"/>
      </w:pPr>
      <w:r>
        <w:t xml:space="preserve">Confira valores no Salic Comparar antes do envio para evitar cortes na análise orçamentária.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 w:default="1">
    <w:name w:val="Normal"/>
  </w:style>
  <w:style w:type="paragraph" w:styleId="Titulo">
    <w:name w:val="Title"/>
    <w:pPr>
      <w:spacing w:after="240"/>
    </w:pPr>
    <w:rPr>
      <w:b/>
      <w:sz w:val="40"/>
      <w:color w:val="1F4E79"/>
    </w:rPr>
  </w:style>
  <w:style w:type="paragraph" w:styleId="Heading1">
    <w:name w:val="heading 1"/>
    <w:pPr>
      <w:keepNext/>
      <w:spacing w:before="240" w:after="120"/>
    </w:pPr>
    <w:rPr>
      <w:b/>
      <w:sz w:val="30"/>
      <w:color w:val="1F4E79"/>
    </w:rPr>
  </w:style>
  <w:style w:type="paragraph" w:styleId="Heading2">
    <w:name w:val="heading 2"/>
    <w:pPr>
      <w:keepNext/>
      <w:spacing w:before="160" w:after="80"/>
    </w:pPr>
    <w:rPr>
      <w:b/>
      <w:sz w:val="26"/>
      <w:color w:val="2E74B5"/>
    </w:rPr>
  </w:style>
  <w:style w:type="paragraph" w:styleId="Heading3">
    <w:name w:val="heading 3"/>
    <w:pPr>
      <w:keepNext/>
      <w:spacing w:before="120" w:after="60"/>
    </w:pPr>
    <w:rPr>
      <w:b/>
      <w:sz w:val="24"/>
    </w:rPr>
  </w:style>
  <w:style w:type="paragraph" w:styleId="ListaMarc">
    <w:name w:val="List Bullet"/>
    <w:pPr>
      <w:numPr>
        <w:numId w:val="0"/>
      </w:numPr>
      <w:ind w:left="360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