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ulo"/>
      </w:pPr>
      <w:r>
        <w:t xml:space="preserve">Esporte que Educa: Núcleos de Formação Esportiva em Ubatuba</w:t>
      </w:r>
    </w:p>
    <w:p>
      <w:r>
        <w:rPr>
          <w:b/>
        </w:rPr>
        <w:t xml:space="preserve">Plataforma:</w:t>
      </w:r>
      <w:r>
        <w:t xml:space="preserve"> Lei de Incentivo ao Esporte (LIE / SLI + SEI)</w:t>
      </w:r>
    </w:p>
    <w:p>
      <w:r>
        <w:rPr>
          <w:b/>
        </w:rPr>
        <w:t xml:space="preserve">Área/nível:</w:t>
      </w:r>
      <w:r>
        <w:t xml:space="preserve"> esporte educacional (formação) · </w:t>
      </w:r>
      <w:r>
        <w:rPr>
          <w:b/>
        </w:rPr>
        <w:t xml:space="preserve">Local:</w:t>
      </w:r>
      <w:r>
        <w:t xml:space="preserve"> Ubatuba/SP · </w:t>
      </w:r>
      <w:r>
        <w:rPr>
          <w:b/>
        </w:rPr>
        <w:t xml:space="preserve">Valor estimado:</w:t>
      </w:r>
      <w:r>
        <w:t xml:space="preserve"> R$ 300.000,00</w:t>
      </w:r>
    </w:p>
    <w:p>
      <w:r>
        <w:t xml:space="preserve">Minuta de trabalho. Textos entre «...» exigem preenchimento; itens [VERIFICAR] dependem de confirmação em fonte oficial.</w:t>
      </w:r>
    </w:p>
    <w:p>
      <w:pPr>
        <w:pStyle w:val="Heading1"/>
      </w:pPr>
      <w:r>
        <w:t xml:space="preserve">Relatório de conformidade</w:t>
      </w:r>
    </w:p>
    <w:p>
      <w:r>
        <w:rPr>
          <w:b/>
        </w:rPr>
        <w:t xml:space="preserve">Situação:</w:t>
      </w:r>
      <w:r>
        <w:t xml:space="preserve"> Sem erros bloqueantes.</w:t>
      </w:r>
    </w:p>
    <w:p>
      <w:pPr>
        <w:pStyle w:val="Heading1"/>
      </w:pPr>
      <w:r>
        <w:t xml:space="preserve">1. Identificação do proponente</w:t>
      </w:r>
    </w:p>
    <w:p>
      <w:r>
        <w:t xml:space="preserve">Onde cadastrar: SLI › Cadastro do Proponente</w:t>
      </w:r>
    </w:p>
    <w:p>
      <w:r>
        <w:rPr>
          <w:b/>
        </w:rPr>
        <w:t xml:space="preserve">Proponente:</w:t>
      </w:r>
      <w:r>
        <w:t xml:space="preserve"> Instituto Ubatuba </w:t>
      </w:r>
      <w:r>
        <w:rPr>
          <w:b/>
        </w:rPr>
        <w:t xml:space="preserve">Natureza:</w:t>
      </w:r>
      <w:r>
        <w:t xml:space="preserve"> Organização da sociedade civil (OSC) sem fins lucrativos — saúde e educação </w:t>
      </w:r>
      <w:r>
        <w:rPr>
          <w:b/>
        </w:rPr>
        <w:t xml:space="preserve">CNPJ:</w:t>
      </w:r>
      <w:r>
        <w:t xml:space="preserve"> «CNPJ do proponente» </w:t>
      </w:r>
      <w:r>
        <w:rPr>
          <w:b/>
        </w:rPr>
        <w:t xml:space="preserve">Município/UF:</w:t>
      </w:r>
      <w:r>
        <w:t xml:space="preserve"> Ubatuba/SP </w:t>
      </w:r>
      <w:r>
        <w:rPr>
          <w:b/>
        </w:rPr>
        <w:t xml:space="preserve">Responsável legal:</w:t>
      </w:r>
      <w:r>
        <w:t xml:space="preserve"> «Nome do Responsável Legal» </w:t>
      </w:r>
      <w:r>
        <w:rPr>
          <w:b/>
        </w:rPr>
        <w:t xml:space="preserve">Tempo de funcionamento:</w:t>
      </w:r>
      <w:r>
        <w:t xml:space="preserve"> «≥ 1 ano — exigência do art. 10, IX do Decreto 12.861/2026»</w:t>
      </w:r>
    </w:p>
    <w:p>
      <w:pPr>
        <w:pStyle w:val="Heading1"/>
      </w:pPr>
      <w:r>
        <w:t xml:space="preserve">2. Manifestação desportiva / Nível da prática esportiva</w:t>
      </w:r>
    </w:p>
    <w:p>
      <w:r>
        <w:t xml:space="preserve">Onde cadastrar: SLI › Manifestação Desportiva</w:t>
      </w:r>
    </w:p>
    <w:p>
      <w:r>
        <w:rPr>
          <w:b/>
        </w:rPr>
        <w:t xml:space="preserve">Nível (nomenclatura vigente — LC 222/2025):</w:t>
      </w:r>
      <w:r>
        <w:t xml:space="preserve"> Formação esportiva </w:t>
      </w:r>
      <w:r>
        <w:rPr>
          <w:b/>
        </w:rPr>
        <w:t xml:space="preserve">Equivalente na nomenclatura anterior (ainda exibida no SLI em transição):</w:t>
      </w:r>
      <w:r>
        <w:t xml:space="preserve"> educacional </w:t>
      </w:r>
      <w:r>
        <w:rPr>
          <w:b/>
        </w:rPr>
        <w:t xml:space="preserve">Desporto/paradesporto:</w:t>
      </w:r>
      <w:r>
        <w:t xml:space="preserve"> «modalidade(s), ex.: futsal, natação, atletismo» </w:t>
      </w:r>
      <w:r>
        <w:rPr>
          <w:b/>
        </w:rPr>
        <w:t xml:space="preserve">Destinação:</w:t>
      </w:r>
      <w:r>
        <w:t xml:space="preserve"> «obra | evento | atividade regular»</w:t>
      </w:r>
    </w:p>
    <w:p>
      <w:pPr>
        <w:pStyle w:val="Heading1"/>
      </w:pPr>
      <w:r>
        <w:t xml:space="preserve">3. Objeto</w:t>
      </w:r>
    </w:p>
    <w:p>
      <w:r>
        <w:t xml:space="preserve">Onde cadastrar: SLI › Definição › Objeto</w:t>
      </w:r>
    </w:p>
    <w:p>
      <w:r>
        <w:t xml:space="preserve">Esporte que Educa: Núcleos de Formação Esportiva em Ubatuba. Núcleos de formação esportiva em futsal, natação e atletismo para crianças e adolescentes matriculados na rede pública, com foco em inclusão social, cidadania, permanência escolar e promoção da saúde no litoral norte de SP.</w:t>
      </w:r>
    </w:p>
    <w:p>
      <w:r>
        <w:t xml:space="preserve">O projeto será executado em Ubatuba/SP, atendendo crianças e adolescentes de 7 a 15 anos da rede pública de ensino.</w:t>
      </w:r>
    </w:p>
    <w:p>
      <w:pPr>
        <w:pStyle w:val="Heading1"/>
      </w:pPr>
      <w:r>
        <w:t xml:space="preserve">4. Justificativa</w:t>
      </w:r>
    </w:p>
    <w:p>
      <w:r>
        <w:t xml:space="preserve">Onde cadastrar: SLI › Dados complementares › Justificativa</w:t>
      </w:r>
    </w:p>
    <w:p>
      <w:r>
        <w:t xml:space="preserve">A prática esportiva orientada é instrumento de desenvolvimento humano, inclusão social e promoção da saúde. Em Ubatuba/SP, «apresentar diagnóstico local: indicadores de vulnerabilidade, ausência de oferta esportiva regular, dados do público-alvo». Como projeto de formação esportiva, prioriza crianças e adolescentes, com pelo menos 50% de alunos da rede pública de ensino (art. 18). A iniciativa dialoga com projetos já aprovados na LIE, que demonstram a viabilidade técnica e orçamentária desta abordagem (ver referências ao final).</w:t>
      </w:r>
    </w:p>
    <w:p>
      <w:pPr>
        <w:pStyle w:val="Heading1"/>
      </w:pPr>
      <w:r>
        <w:t xml:space="preserve">5. Objetivo geral e objetivos específicos</w:t>
      </w:r>
    </w:p>
    <w:p>
      <w:r>
        <w:t xml:space="preserve">Onde cadastrar: SLI › Dados complementares › Objetivo</w:t>
      </w:r>
    </w:p>
    <w:p>
      <w:r>
        <w:rPr>
          <w:b/>
        </w:rPr>
        <w:t xml:space="preserve">Objetivo geral:</w:t>
      </w:r>
      <w:r>
        <w:t xml:space="preserve"> «formular em uma frase, ex.: promover a prática esportiva regular e a formação cidadã de crianças e adolescentes de 7 a 15 anos da rede pública de ensino em Ubatuba/SP».</w:t>
      </w:r>
    </w:p>
    <w:p>
      <w:r>
        <w:rPr>
          <w:b/>
        </w:rPr>
        <w:t xml:space="preserve">Objetivos específicos:</w:t>
      </w:r>
      <w:r>
        <w:t xml:space="preserve"> 1. «Oferecer aulas regulares de «modalidade» para «nº» beneficiários». 2. «Desenvolver valores de disciplina, cooperação e respeito por meio do esporte». 3. «Ampliar o acesso de pessoas com deficiência e idosas à prática esportiva (acessibilidade — art. 17)».</w:t>
      </w:r>
    </w:p>
    <w:p>
      <w:pPr>
        <w:pStyle w:val="Heading1"/>
      </w:pPr>
      <w:r>
        <w:t xml:space="preserve">6. Metas qualitativas e quantitativas (com indicadores)</w:t>
      </w:r>
    </w:p>
    <w:p>
      <w:r>
        <w:t xml:space="preserve">Onde cadastrar: SLI › Metas (mín. 2, máx. 5)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Meta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Indicador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Verificador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Atender «nº» beneficiários em aulas regulares</w:t>
            </w:r>
          </w:p>
        </w:tc>
        <w:tc>
          <w:tcPr/>
          <w:p>
            <w:r>
              <w:t xml:space="preserve">Nº de matriculados / frequência ≥ 75%</w:t>
            </w:r>
          </w:p>
        </w:tc>
        <w:tc>
          <w:tcPr/>
          <w:p>
            <w:r>
              <w:t xml:space="preserve">Lista de presença, fichas de matrícula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Realizar «nº» horas/aula ao longo de «nº» meses</w:t>
            </w:r>
          </w:p>
        </w:tc>
        <w:tc>
          <w:tcPr/>
          <w:p>
            <w:r>
              <w:t xml:space="preserve">Horas/aula executadas</w:t>
            </w:r>
          </w:p>
        </w:tc>
        <w:tc>
          <w:tcPr/>
          <w:p>
            <w:r>
              <w:t xml:space="preserve">Cronograma, diário de aulas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Garantir ≥ «%» de alunos da rede pública (mín. 50%)</w:t>
            </w:r>
          </w:p>
        </w:tc>
        <w:tc>
          <w:tcPr/>
          <w:p>
            <w:r>
              <w:t xml:space="preserve">% de alunos da rede pública</w:t>
            </w:r>
          </w:p>
        </w:tc>
        <w:tc>
          <w:tcPr/>
          <w:p>
            <w:r>
              <w:t xml:space="preserve">Declaração escolar</w:t>
            </w:r>
          </w:p>
        </w:tc>
      </w:tr>
    </w:tbl>
    <w:p>
      <w:r>
        <w:t xml:space="preserve">_Use de 2 a 5 metas (limite do SLI). Cada meta deve ter indicador e meio de verificação._</w:t>
      </w:r>
    </w:p>
    <w:p>
      <w:pPr>
        <w:pStyle w:val="Heading1"/>
      </w:pPr>
      <w:r>
        <w:t xml:space="preserve">7. Metodologia</w:t>
      </w:r>
    </w:p>
    <w:p>
      <w:r>
        <w:t xml:space="preserve">Onde cadastrar: SLI › Dados complementares › Metodologia</w:t>
      </w:r>
    </w:p>
    <w:p>
      <w:r>
        <w:t xml:space="preserve">«Descrever a abordagem pedagógico-esportiva: periodização das aulas, faixas/turmas, profissionais responsáveis (educadores físicos com CREF), critérios de seleção e matrícula, avaliação de desenvolvimento, e articulação com escolas/rede de saúde do município».</w:t>
      </w:r>
    </w:p>
    <w:p>
      <w:pPr>
        <w:pStyle w:val="Heading1"/>
      </w:pPr>
      <w:r>
        <w:t xml:space="preserve">8. Público beneficiário</w:t>
      </w:r>
    </w:p>
    <w:p>
      <w:r>
        <w:t xml:space="preserve">Onde cadastrar: SLI › Público beneficiário</w:t>
      </w:r>
    </w:p>
    <w:p>
      <w:r>
        <w:rPr>
          <w:b/>
        </w:rPr>
        <w:t xml:space="preserve">Quem:</w:t>
      </w:r>
      <w:r>
        <w:t xml:space="preserve"> crianças e adolescentes de 7 a 15 anos da rede pública de ensino </w:t>
      </w:r>
      <w:r>
        <w:rPr>
          <w:b/>
        </w:rPr>
        <w:t xml:space="preserve">Quantidade:</w:t>
      </w:r>
      <w:r>
        <w:t xml:space="preserve"> «nº total de beneficiários diretos» </w:t>
      </w:r>
      <w:r>
        <w:rPr>
          <w:b/>
        </w:rPr>
        <w:t xml:space="preserve">Faixa etária:</w:t>
      </w:r>
      <w:r>
        <w:t xml:space="preserve"> «ex.: 6 a 17 anos» </w:t>
      </w:r>
      <w:r>
        <w:rPr>
          <w:b/>
        </w:rPr>
        <w:t xml:space="preserve">Critérios de seleção:</w:t>
      </w:r>
      <w:r>
        <w:t xml:space="preserve"> «ex.: matrícula na rede pública, residência em áreas prioritárias, ordem de inscrição» </w:t>
      </w:r>
      <w:r>
        <w:rPr>
          <w:b/>
        </w:rPr>
        <w:t xml:space="preserve">Pessoas com deficiência:</w:t>
      </w:r>
      <w:r>
        <w:t xml:space="preserve"> «prever vagas e adaptações — acessibilidade obrigatória (art. 17)» </w:t>
      </w:r>
      <w:r>
        <w:rPr>
          <w:b/>
        </w:rPr>
        <w:t xml:space="preserve">Alunos da rede pública:</w:t>
      </w:r>
      <w:r>
        <w:t xml:space="preserve"> «≥ 50% — art. 18»</w:t>
      </w:r>
    </w:p>
    <w:p>
      <w:pPr>
        <w:pStyle w:val="Heading1"/>
      </w:pPr>
      <w:r>
        <w:t xml:space="preserve">9. Plano de trabalho e estratégias de ação</w:t>
      </w:r>
    </w:p>
    <w:p>
      <w:r>
        <w:t xml:space="preserve">Onde cadastrar: SLI › Descrição do projeto (art. 10, VI)</w:t>
      </w:r>
    </w:p>
    <w:p>
      <w:r>
        <w:t xml:space="preserve">«Detalhar as ações por fase: (a) mobilização e inscrições; (b) execução das atividades esportivas; (c) eventos/festivais de integração; (d) monitoramento e avaliação. Indicar estratégias de ação para cada objetivo específico».</w:t>
      </w:r>
    </w:p>
    <w:p>
      <w:pPr>
        <w:pStyle w:val="Heading1"/>
      </w:pPr>
      <w:r>
        <w:t xml:space="preserve">10. Equipe e atribuições</w:t>
      </w:r>
    </w:p>
    <w:p>
      <w:r>
        <w:t xml:space="preserve">Onde cadastrar: SLI › Ficha técnica / Equipe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Função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Qtde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Atribuição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Vínculo</w:t>
            </w:r>
          </w:p>
        </w:tc>
      </w:tr>
      <w:tr>
        <w:tc>
          <w:tcPr/>
          <w:p>
            <w:r>
              <w:t xml:space="preserve">Coordenador(a) geral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Gestão e articulação</w:t>
            </w:r>
          </w:p>
        </w:tc>
        <w:tc>
          <w:tcPr/>
          <w:p>
            <w:r>
              <w:t xml:space="preserve">«CLT/RPA»</w:t>
            </w:r>
          </w:p>
        </w:tc>
      </w:tr>
      <w:tr>
        <w:tc>
          <w:tcPr/>
          <w:p>
            <w:r>
              <w:t xml:space="preserve">Profissional de Educação Física (CREF)</w:t>
            </w:r>
          </w:p>
        </w:tc>
        <w:tc>
          <w:tcPr/>
          <w:p>
            <w:r>
              <w:t xml:space="preserve">«nº»</w:t>
            </w:r>
          </w:p>
        </w:tc>
        <w:tc>
          <w:tcPr/>
          <w:p>
            <w:r>
              <w:t xml:space="preserve">Ministrar aulas</w:t>
            </w:r>
          </w:p>
        </w:tc>
        <w:tc>
          <w:tcPr/>
          <w:p>
            <w:r>
              <w:t xml:space="preserve">«CLT/RPA»</w:t>
            </w:r>
          </w:p>
        </w:tc>
      </w:tr>
      <w:tr>
        <w:tc>
          <w:tcPr/>
          <w:p>
            <w:r>
              <w:t xml:space="preserve">Auxiliar/estagiário</w:t>
            </w:r>
          </w:p>
        </w:tc>
        <w:tc>
          <w:tcPr/>
          <w:p>
            <w:r>
              <w:t xml:space="preserve">«nº»</w:t>
            </w:r>
          </w:p>
        </w:tc>
        <w:tc>
          <w:tcPr/>
          <w:p>
            <w:r>
              <w:t xml:space="preserve">Apoio às turmas</w:t>
            </w:r>
          </w:p>
        </w:tc>
        <w:tc>
          <w:tcPr/>
          <w:p>
            <w:r>
              <w:t xml:space="preserve">«...»</w:t>
            </w:r>
          </w:p>
        </w:tc>
      </w:tr>
      <w:tr>
        <w:tc>
          <w:tcPr/>
          <w:p>
            <w:r>
              <w:t xml:space="preserve">Administrativo/financeiro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Gestão de contas e prestação de contas</w:t>
            </w:r>
          </w:p>
        </w:tc>
        <w:tc>
          <w:tcPr/>
          <w:p>
            <w:r>
              <w:t xml:space="preserve">«...»</w:t>
            </w:r>
          </w:p>
        </w:tc>
      </w:tr>
    </w:tbl>
    <w:p>
      <w:pPr>
        <w:pStyle w:val="Heading1"/>
      </w:pPr>
      <w:r>
        <w:t xml:space="preserve">11. Cronograma físico e financeiro</w:t>
      </w:r>
    </w:p>
    <w:p>
      <w:r>
        <w:t xml:space="preserve">Onde cadastrar: SLI › Cronograma (art. 10, VI, c)</w:t>
      </w:r>
    </w:p>
    <w:p>
      <w:r>
        <w:t xml:space="preserve">«Distribuir as ações e os desembolsos ao longo dos meses de execução. Exemplo:»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Ação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Mês 1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Mês 2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...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Mês N</w:t>
            </w:r>
          </w:p>
        </w:tc>
      </w:tr>
      <w:tr>
        <w:tc>
          <w:tcPr/>
          <w:p>
            <w:r>
              <w:t xml:space="preserve">Inscrições e matrículas</w:t>
            </w:r>
          </w:p>
        </w:tc>
        <w:tc>
          <w:tcPr/>
          <w:p>
            <w:r>
              <w:t xml:space="preserve">X</w:t>
            </w:r>
          </w:p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Aulas regulares</w:t>
            </w:r>
          </w:p>
        </w:tc>
        <w:tc>
          <w:tcPr/>
          <w:p/>
        </w:tc>
        <w:tc>
          <w:tcPr/>
          <w:p>
            <w:r>
              <w:t xml:space="preserve">X</w:t>
            </w:r>
          </w:p>
        </w:tc>
        <w:tc>
          <w:tcPr/>
          <w:p>
            <w:r>
              <w:t xml:space="preserve">X</w:t>
            </w:r>
          </w:p>
        </w:tc>
        <w:tc>
          <w:tcPr/>
          <w:p>
            <w:r>
              <w:t xml:space="preserve">X</w:t>
            </w:r>
          </w:p>
        </w:tc>
      </w:tr>
      <w:tr>
        <w:tc>
          <w:tcPr/>
          <w:p>
            <w:r>
              <w:t xml:space="preserve">Evento de encerramento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r>
              <w:t xml:space="preserve">X</w:t>
            </w:r>
          </w:p>
        </w:tc>
      </w:tr>
      <w:tr>
        <w:tc>
          <w:tcPr/>
          <w:p>
            <w:r>
              <w:t xml:space="preserve">Prestação de contas final</w:t>
            </w:r>
          </w:p>
        </w:tc>
        <w:tc>
          <w:tcPr/>
          <w:p/>
        </w:tc>
        <w:tc>
          <w:tcPr/>
          <w:p/>
        </w:tc>
        <w:tc>
          <w:tcPr/>
          <w:p/>
        </w:tc>
        <w:tc>
          <w:tcPr/>
          <w:p>
            <w:r>
              <w:t xml:space="preserve">X (até 60 dias após o término — art. 33)</w:t>
            </w:r>
          </w:p>
        </w:tc>
      </w:tr>
    </w:tbl>
    <w:p>
      <w:pPr>
        <w:pStyle w:val="Heading1"/>
      </w:pPr>
      <w:r>
        <w:t xml:space="preserve">12. Planilha orçamentária por etapa/rubrica</w:t>
      </w:r>
    </w:p>
    <w:p>
      <w:r>
        <w:t xml:space="preserve">Onde cadastrar: SLI › Orçamento (3 etapas)</w:t>
      </w:r>
    </w:p>
    <w:p>
      <w:r>
        <w:t xml:space="preserve">Estrutura em 3 etapas do SLI: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Etapa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Rubrica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Valor</w:t>
            </w:r>
          </w:p>
        </w:tc>
      </w:tr>
      <w:tr>
        <w:tc>
          <w:tcPr/>
          <w:p>
            <w:r>
              <w:t xml:space="preserve">1 — Atividade-fim</w:t>
            </w:r>
          </w:p>
        </w:tc>
        <w:tc>
          <w:tcPr/>
          <w:p>
            <w:r>
              <w:t xml:space="preserve">Execução direta</w:t>
            </w:r>
          </w:p>
        </w:tc>
        <w:tc>
          <w:tcPr/>
          <w:p>
            <w:r>
              <w:t xml:space="preserve">R$ 231.000,00</w:t>
            </w:r>
          </w:p>
        </w:tc>
      </w:tr>
      <w:tr>
        <w:tc>
          <w:tcPr/>
          <w:p>
            <w:r>
              <w:t xml:space="preserve">2 — Atividade-meio</w:t>
            </w:r>
          </w:p>
        </w:tc>
        <w:tc>
          <w:tcPr/>
          <w:p>
            <w:r>
              <w:t xml:space="preserve">Administrativo (≤ 15% — art. 12)</w:t>
            </w:r>
          </w:p>
        </w:tc>
        <w:tc>
          <w:tcPr/>
          <w:p>
            <w:r>
              <w:t xml:space="preserve">R$ 45.000,00</w:t>
            </w:r>
          </w:p>
        </w:tc>
      </w:tr>
      <w:tr>
        <w:tc>
          <w:tcPr/>
          <w:p>
            <w:r>
              <w:t xml:space="preserve">3 — Elaboração + captação</w:t>
            </w:r>
          </w:p>
        </w:tc>
        <w:tc>
          <w:tcPr/>
          <w:p>
            <w:r>
              <w:t xml:space="preserve">[VERIFICAR] limite por nível (Portaria 10/2026)</w:t>
            </w:r>
          </w:p>
        </w:tc>
        <w:tc>
          <w:tcPr/>
          <w:p>
            <w:r>
              <w:t xml:space="preserve">R$ 24.000,00</w:t>
            </w:r>
          </w:p>
        </w:tc>
      </w:tr>
      <w:tr>
        <w:tc>
          <w:tcPr/>
          <w:p>
            <w:r>
              <w:rPr>
                <w:b/>
              </w:rPr>
              <w:t xml:space="preserve">TOTAL</w:t>
            </w:r>
          </w:p>
        </w:tc>
        <w:tc>
          <w:tcPr/>
          <w:p/>
        </w:tc>
        <w:tc>
          <w:tcPr/>
          <w:p>
            <w:r>
              <w:rPr>
                <w:b/>
              </w:rPr>
              <w:t xml:space="preserve">R$ 300.000,00</w:t>
            </w:r>
          </w:p>
        </w:tc>
      </w:tr>
    </w:tbl>
    <w:p>
      <w:r>
        <w:t xml:space="preserve">_Detalhe cada rubrica com item, unidade, quantidade e valor unitário compatível com o mercado (art. 10, VII)._</w:t>
      </w:r>
    </w:p>
    <w:p>
      <w:pPr>
        <w:pStyle w:val="Heading1"/>
      </w:pPr>
      <w:r>
        <w:t xml:space="preserve">13. Contrapartidas</w:t>
      </w:r>
    </w:p>
    <w:p>
      <w:r>
        <w:t xml:space="preserve">Onde cadastrar: SLI › Descrição do projeto</w:t>
      </w:r>
    </w:p>
    <w:p>
      <w:r>
        <w:t xml:space="preserve">Contrapartida social: no mínimo 50% de alunos regularmente matriculados na rede pública de ensino (art. 18). Gratuidade total aos beneficiários em atividades de prática regular (art. 16). Acessibilidade a idosos e PCD (art. 17).</w:t>
      </w:r>
    </w:p>
    <w:p>
      <w:pPr>
        <w:pStyle w:val="Heading1"/>
      </w:pPr>
      <w:r>
        <w:t xml:space="preserve">14. Plano de divulgação</w:t>
      </w:r>
    </w:p>
    <w:p>
      <w:r>
        <w:t xml:space="preserve">Onde cadastrar: SLI › Descrição do projeto</w:t>
      </w:r>
    </w:p>
    <w:p>
      <w:r>
        <w:t xml:space="preserve">«Plano de comunicação do projeto: peças, canais (redes sociais, imprensa local), aplicação da marca dos patrocinadores e do Ministério do Esporte conforme manual de identidade». </w:t>
      </w:r>
      <w:r>
        <w:rPr>
          <w:b/>
        </w:rPr>
        <w:t xml:space="preserve">Atenção:</w:t>
      </w:r>
      <w:r>
        <w:t xml:space="preserve"> é vedado usar recurso incentivado para aquisição de espaços publicitários (art. 14).</w:t>
      </w:r>
    </w:p>
    <w:p>
      <w:pPr>
        <w:pStyle w:val="Heading1"/>
      </w:pPr>
      <w:r>
        <w:t xml:space="preserve">15. Referências (projetos aprovados similares)</w:t>
      </w:r>
    </w:p>
    <w:p>
      <w:pPr>
        <w:pStyle w:val="ListaMarc"/>
      </w:pPr>
      <w:r>
        <w:rPr>
          <w:b/>
        </w:rPr>
        <w:t xml:space="preserve">Escola de Futebol Comunitária</w:t>
      </w:r>
      <w:r>
        <w:t xml:space="preserve"> [formação esportiva] (EXEMPLO-FICTICIO-001) — aprovado: R$ 250.000,00 — Exemplo Instituto (DADO FICTÍCIO - substitua por planilha oficial)</w:t>
      </w:r>
    </w:p>
    <w:p>
      <w:pPr>
        <w:pStyle w:val="Heading1"/>
      </w:pPr>
      <w:r>
        <w:t xml:space="preserve">Vedações a observar</w:t>
      </w:r>
    </w:p>
    <w:p>
      <w:pPr>
        <w:pStyle w:val="ListaMarc"/>
      </w:pPr>
      <w:r>
        <w:t xml:space="preserve">Intermediação total do objeto do projeto (art. 13, §1º).</w:t>
      </w:r>
    </w:p>
    <w:p>
      <w:pPr>
        <w:pStyle w:val="ListaMarc"/>
      </w:pPr>
      <w:r>
        <w:t xml:space="preserve">Aquisição de espaços publicitários com recurso incentivado (art. 14).</w:t>
      </w:r>
    </w:p>
    <w:p>
      <w:pPr>
        <w:pStyle w:val="ListaMarc"/>
      </w:pPr>
      <w:r>
        <w:t xml:space="preserve">Cobrança de beneficiários em projetos de prática regular — gratuidade (art. 16).</w:t>
      </w:r>
    </w:p>
    <w:p>
      <w:pPr>
        <w:pStyle w:val="ListaMarc"/>
      </w:pPr>
      <w:r>
        <w:t xml:space="preserve">Remuneração de atleta profissional / manutenção de equipes profissionais (art. 6º).</w:t>
      </w:r>
    </w:p>
    <w:p>
      <w:pPr>
        <w:pStyle w:val="ListaMarc"/>
      </w:pPr>
      <w:r>
        <w:t xml:space="preserve">Subcontratação de gestão, coordenação ou direção do projeto (art. 13, §3º).</w:t>
      </w:r>
    </w:p>
    <w:p>
      <w:pPr>
        <w:pStyle w:val="Heading1"/>
      </w:pPr>
      <w:r>
        <w:t xml:space="preserve">Checklist de cadastro (passo a passo)</w:t>
      </w:r>
    </w:p>
    <w:p>
      <w:pPr>
        <w:pStyle w:val="ListaMarc"/>
      </w:pPr>
      <w:r>
        <w:t xml:space="preserve">Acesse o SLI — Sistema da Lei de Incentivo: https://sli.mds.gov.br/ e faça login (conta gov.br).</w:t>
      </w:r>
    </w:p>
    <w:p>
      <w:pPr>
        <w:pStyle w:val="ListaMarc"/>
      </w:pPr>
      <w:r>
        <w:t xml:space="preserve">Cadastre/atualize o Proponente (seção 1 desta minuta): CNPJ, ato constitutivo, ata de posse da diretoria, comprovação de ≥1 ano de funcionamento.</w:t>
      </w:r>
    </w:p>
    <w:p>
      <w:pPr>
        <w:pStyle w:val="ListaMarc"/>
      </w:pPr>
      <w:r>
        <w:t xml:space="preserve">Crie novo projeto → em "Manifestação Desportiva/Nível" selecione: Formação esportiva (seção 2).</w:t>
      </w:r>
    </w:p>
    <w:p>
      <w:pPr>
        <w:pStyle w:val="ListaMarc"/>
      </w:pPr>
      <w:r>
        <w:t xml:space="preserve">Preencha "Definição": título e Objeto (seção 3) e período de execução.</w:t>
      </w:r>
    </w:p>
    <w:p>
      <w:pPr>
        <w:pStyle w:val="ListaMarc"/>
      </w:pPr>
      <w:r>
        <w:t xml:space="preserve">Preencha "Dados complementares": Objetivo (seção 5), Metodologia (seção 7) e Justificativa (seção 4).</w:t>
      </w:r>
    </w:p>
    <w:p>
      <w:pPr>
        <w:pStyle w:val="ListaMarc"/>
      </w:pPr>
      <w:r>
        <w:t xml:space="preserve">Cadastre as Metas (seção 6) — de 2 a 5, cada uma com indicador e verificador.</w:t>
      </w:r>
    </w:p>
    <w:p>
      <w:pPr>
        <w:pStyle w:val="ListaMarc"/>
      </w:pPr>
      <w:r>
        <w:t xml:space="preserve">Preencha "Público beneficiário" (seção 8): tipo, faixa etária, quantidade e PCD.</w:t>
      </w:r>
    </w:p>
    <w:p>
      <w:pPr>
        <w:pStyle w:val="ListaMarc"/>
      </w:pPr>
      <w:r>
        <w:t xml:space="preserve">Monte o Orçamento nas 3 etapas do SLI (seção 12): atividade-fim, atividade-meio (≤15%) e elaboração+captação.</w:t>
      </w:r>
    </w:p>
    <w:p>
      <w:pPr>
        <w:pStyle w:val="ListaMarc"/>
      </w:pPr>
      <w:r>
        <w:t xml:space="preserve">Anexe documentos (art. 10): CNPJ, ato constitutivo, ata de posse, CPF/RG dos responsáveis, orçamento analítico com comprovação de preços, capacidade técnico-operativa. PDF pesquisável (OCR).</w:t>
      </w:r>
    </w:p>
    <w:p>
      <w:pPr>
        <w:pStyle w:val="ListaMarc"/>
      </w:pPr>
      <w:r>
        <w:t xml:space="preserve">Revise pendências em "Finalização" e envie o projeto dentro da janela de apresentação (04/03–18/09/2026 — [VERIFICAR] na Portaria 10/2026).</w:t>
      </w:r>
    </w:p>
    <w:p>
      <w:pPr>
        <w:pStyle w:val="ListaMarc"/>
      </w:pPr>
      <w:r>
        <w:t xml:space="preserve">Após aprovação: o Responsável Legal assina o Termo de Compromisso no SEI Cidadania (cadastro de usuário externo; confirmação a execucao.incentivo@esporte.gov.br) em até 180 dias, com assinatura gov.br/ICP-Brasil.</w:t>
      </w:r>
    </w:p>
    <w:p>
      <w:pPr>
        <w:pStyle w:val="ListaMarc"/>
      </w:pPr>
      <w:r>
        <w:t xml:space="preserve">Abra conta bancária específica (Banco do Brasil ou Caixa) em nome do proponente e inicie a captação.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Titulo">
    <w:name w:val="Title"/>
    <w:pPr>
      <w:spacing w:after="240"/>
    </w:pPr>
    <w:rPr>
      <w:b/>
      <w:sz w:val="40"/>
      <w:color w:val="1F4E79"/>
    </w:rPr>
  </w:style>
  <w:style w:type="paragraph" w:styleId="Heading1">
    <w:name w:val="heading 1"/>
    <w:pPr>
      <w:keepNext/>
      <w:spacing w:before="240" w:after="120"/>
    </w:pPr>
    <w:rPr>
      <w:b/>
      <w:sz w:val="30"/>
      <w:color w:val="1F4E79"/>
    </w:rPr>
  </w:style>
  <w:style w:type="paragraph" w:styleId="Heading2">
    <w:name w:val="heading 2"/>
    <w:pPr>
      <w:keepNext/>
      <w:spacing w:before="160" w:after="80"/>
    </w:pPr>
    <w:rPr>
      <w:b/>
      <w:sz w:val="26"/>
      <w:color w:val="2E74B5"/>
    </w:rPr>
  </w:style>
  <w:style w:type="paragraph" w:styleId="Heading3">
    <w:name w:val="heading 3"/>
    <w:pPr>
      <w:keepNext/>
      <w:spacing w:before="120" w:after="60"/>
    </w:pPr>
    <w:rPr>
      <w:b/>
      <w:sz w:val="24"/>
    </w:rPr>
  </w:style>
  <w:style w:type="paragraph" w:styleId="ListaMarc">
    <w:name w:val="List Bullet"/>
    <w:pPr>
      <w:numPr>
        <w:numId w:val="0"/>
      </w:numPr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