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after="0"/>
      </w:pPr>
    </w:p>
    <w:p>
      <w:pPr>
        <w:spacing w:after="200"/>
        <w:jc w:val="center"/>
      </w:pPr>
      <w:r>
        <w:t xml:space="preserve">Allelio</w:t>
      </w:r>
    </w:p>
    <w:p>
      <w:pPr>
        <w:spacing w:after="1200"/>
        <w:jc w:val="center"/>
      </w:pPr>
      <w:r>
        <w:t xml:space="preserve">Project Brief</w:t>
      </w:r>
    </w:p>
    <w:p>
      <w:pPr>
        <w:spacing w:before="800" w:after="0"/>
      </w:pPr>
    </w:p>
    <w:p>
      <w:pPr>
        <w:spacing w:after="200"/>
        <w:jc w:val="center"/>
      </w:pPr>
      <w:r>
        <w:t xml:space="preserve">Date: February 2025</w:t>
      </w:r>
    </w:p>
    <w:p>
      <w:pPr>
        <w:spacing w:after="0"/>
        <w:jc w:val="center"/>
      </w:pPr>
      <w:r>
        <w:t xml:space="preserve">INTERNAL DOCUMENT</w:t>
      </w:r>
    </w:p>
    <w:r>
      <w:br w:type="page"/>
    </w:r>
    <w:p>
      <w:pPr>
        <w:pStyle w:val="Heading1"/>
        <w:pStyle w:val="Heading1"/>
        <w:spacing w:before="400" w:after="200"/>
      </w:pPr>
      <w:r>
        <w:t xml:space="preserve">Table of Contents</w:t>
      </w:r>
    </w:p>
    <w:p>
      <w:pPr>
        <w:spacing w:after="100"/>
      </w:pPr>
    </w:p>
    <w:p>
      <w:pPr>
        <w:pStyle w:val="ListParagraph"/>
        <w:pStyle w:val="List Paragraph"/>
        <w:numPr>
          <w:ilvl w:val="0"/>
          <w:numId w:val="1"/>
        </w:numPr>
        <w:spacing w:line="360" w:after="120" w:before="0"/>
        <w:ind w:left="360" w:right="0" w:hanging="360"/>
      </w:pPr>
      <w:r>
        <w:t xml:space="preserve">Executive Summary</w:t>
      </w:r>
    </w:p>
    <w:p>
      <w:pPr>
        <w:pStyle w:val="ListParagraph"/>
        <w:pStyle w:val="List Paragraph"/>
        <w:numPr>
          <w:ilvl w:val="0"/>
          <w:numId w:val="1"/>
        </w:numPr>
        <w:spacing w:line="360" w:after="120" w:before="0"/>
        <w:ind w:left="360" w:right="0" w:hanging="360"/>
      </w:pPr>
      <w:r>
        <w:t xml:space="preserve">Problem Statement</w:t>
      </w:r>
    </w:p>
    <w:p>
      <w:pPr>
        <w:pStyle w:val="ListParagraph"/>
        <w:pStyle w:val="List Paragraph"/>
        <w:numPr>
          <w:ilvl w:val="0"/>
          <w:numId w:val="1"/>
        </w:numPr>
        <w:spacing w:line="360" w:after="120" w:before="0"/>
        <w:ind w:left="360" w:right="0" w:hanging="360"/>
      </w:pPr>
      <w:r>
        <w:t xml:space="preserve">Target Users &amp; Personas</w:t>
      </w:r>
    </w:p>
    <w:p>
      <w:pPr>
        <w:pStyle w:val="ListParagraph"/>
        <w:pStyle w:val="List Paragraph"/>
        <w:numPr>
          <w:ilvl w:val="0"/>
          <w:numId w:val="1"/>
        </w:numPr>
        <w:spacing w:line="360" w:after="120" w:before="0"/>
        <w:ind w:left="360" w:right="0" w:hanging="360"/>
      </w:pPr>
      <w:r>
        <w:t xml:space="preserve">Product Requirements Document (PRD)</w:t>
      </w:r>
    </w:p>
    <w:p>
      <w:pPr>
        <w:pStyle w:val="ListParagraph"/>
        <w:pStyle w:val="List Paragraph"/>
        <w:numPr>
          <w:ilvl w:val="0"/>
          <w:numId w:val="1"/>
        </w:numPr>
        <w:spacing w:line="360" w:after="120" w:before="0"/>
        <w:ind w:left="360" w:right="0" w:hanging="360"/>
      </w:pPr>
      <w:r>
        <w:t xml:space="preserve">Architecture Overview</w:t>
      </w:r>
    </w:p>
    <w:p>
      <w:pPr>
        <w:pStyle w:val="ListParagraph"/>
        <w:pStyle w:val="List Paragraph"/>
        <w:numPr>
          <w:ilvl w:val="0"/>
          <w:numId w:val="1"/>
        </w:numPr>
        <w:spacing w:line="360" w:after="120" w:before="0"/>
        <w:ind w:left="360" w:right="0" w:hanging="360"/>
      </w:pPr>
      <w:r>
        <w:t xml:space="preserve">Privacy &amp; Safety Framework</w:t>
      </w:r>
    </w:p>
    <w:p>
      <w:pPr>
        <w:pStyle w:val="ListParagraph"/>
        <w:pStyle w:val="List Paragraph"/>
        <w:numPr>
          <w:ilvl w:val="0"/>
          <w:numId w:val="1"/>
        </w:numPr>
        <w:spacing w:line="360" w:after="120" w:before="0"/>
        <w:ind w:left="360" w:right="0" w:hanging="360"/>
      </w:pPr>
      <w:r>
        <w:t xml:space="preserve">Roadmap</w:t>
      </w:r>
    </w:p>
    <w:p>
      <w:pPr>
        <w:pStyle w:val="ListParagraph"/>
        <w:pStyle w:val="List Paragraph"/>
        <w:numPr>
          <w:ilvl w:val="0"/>
          <w:numId w:val="1"/>
        </w:numPr>
        <w:spacing w:line="360" w:after="120" w:before="0"/>
        <w:ind w:left="360" w:right="0" w:hanging="360"/>
      </w:pPr>
      <w:r>
        <w:t xml:space="preserve">Success Metrics</w:t>
      </w:r>
    </w:p>
    <w:p>
      <w:pPr>
        <w:spacing w:after="400"/>
      </w:pPr>
    </w:p>
    <w:r>
      <w:br w:type="page"/>
    </w:r>
    <w:p>
      <w:pPr>
        <w:pStyle w:val="Heading1"/>
        <w:pStyle w:val="Heading1"/>
        <w:spacing w:before="400" w:after="200"/>
      </w:pPr>
      <w:r>
        <w:t xml:space="preserve">1. Executive Summary</w:t>
      </w:r>
    </w:p>
    <w:p>
      <w:pPr>
        <w:pStyle w:val="Normal"/>
        <w:spacing w:line="360" w:after="200" w:before="0"/>
        <w:ind w:left="0" w:right="0"/>
        <w:jc w:val="left"/>
      </w:pPr>
      <w:r>
        <w:t xml:space="preserve">Allelio is an open-source, privacy-first genomics analysis tool that empowers individuals to analyze their raw DNA testing data entirely on their own computers. Supporting data from popular consumer genomics platforms (23andMe, AncestryDNA) as well as industry-standard VCF files, Allelio enables comprehensive variant interpretation without requiring data to leave the user's machine. By leveraging local AI through Ollama, the tool generates plain-English explanations of genetic variants, cross-referencing authoritative databases like ClinVar and the GWAS Catalog. This approach fundamentally reimagines genomics analysis: combining the accessibility of consumer tools with the privacy guarantees of offline-first architecture.</w:t>
      </w:r>
    </w:p>
    <w:p>
      <w:pPr>
        <w:pStyle w:val="Normal"/>
        <w:spacing w:line="360" w:after="200" w:before="0"/>
        <w:ind w:left="0" w:right="0"/>
        <w:jc w:val="left"/>
      </w:pPr>
      <w:r>
        <w:t xml:space="preserve">The project is entirely non-commercial, created with the mission to democratize access to genetic insights while preserving absolute user privacy. In a landscape where existing tools (Promethease, Coding Variant Helper) require uploading sensitive genetic data to third-party cloud servers, Allelio stands apart as the first comprehensive open-source alternative that runs entirely locally. By eliminating the privacy-convenience tradeoff, Allelio makes genetic literacy accessible to privacy-conscious consumers, curious explorers, and bioinformatics professionals alike.</w:t>
      </w:r>
    </w:p>
    <w:p>
      <w:pPr>
        <w:spacing w:after="300"/>
      </w:pPr>
    </w:p>
    <w:p>
      <w:pPr>
        <w:pStyle w:val="Heading1"/>
        <w:pStyle w:val="Heading1"/>
        <w:spacing w:before="400" w:after="200"/>
      </w:pPr>
      <w:r>
        <w:t xml:space="preserve">2. Problem Statement</w:t>
      </w:r>
    </w:p>
    <w:p>
      <w:pPr>
        <w:pStyle w:val="ListParagraph"/>
        <w:pStyle w:val="List Paragraph"/>
        <w:numPr>
          <w:ilvl w:val="0"/>
          <w:numId w:val="1"/>
        </w:numPr>
        <w:spacing w:line="360" w:after="120" w:before="0"/>
        <w:ind w:left="360" w:right="0" w:hanging="360"/>
      </w:pPr>
      <w:r>
        <w:t xml:space="preserve">Millions of people take consumer DNA tests but lack the tools to understand their own raw genetic data. Most test results focus on ancestry, leaving actionable health insights unexplored.</w:t>
      </w:r>
    </w:p>
    <w:p>
      <w:pPr>
        <w:pStyle w:val="ListParagraph"/>
        <w:pStyle w:val="List Paragraph"/>
        <w:numPr>
          <w:ilvl w:val="0"/>
          <w:numId w:val="1"/>
        </w:numPr>
        <w:spacing w:line="360" w:after="120" w:before="0"/>
        <w:ind w:left="360" w:right="0" w:hanging="360"/>
      </w:pPr>
      <w:r>
        <w:t xml:space="preserve">Existing tools for variant interpretation (Promethease, Genome Browser, Coding Variant Helper) require uploading sensitive genetic data to third-party cloud servers, raising serious privacy concerns for users unwilling to trust proprietary platforms.</w:t>
      </w:r>
    </w:p>
    <w:p>
      <w:pPr>
        <w:pStyle w:val="ListParagraph"/>
        <w:pStyle w:val="List Paragraph"/>
        <w:numPr>
          <w:ilvl w:val="0"/>
          <w:numId w:val="1"/>
        </w:numPr>
        <w:spacing w:line="360" w:after="120" w:before="0"/>
        <w:ind w:left="360" w:right="0" w:hanging="360"/>
      </w:pPr>
      <w:r>
        <w:t xml:space="preserve">There is no comprehensive open-source alternative that performs variant annotation and interpretation entirely locally, leaving a critical gap in the genomics tooling ecosystem.</w:t>
      </w:r>
    </w:p>
    <w:p>
      <w:pPr>
        <w:pStyle w:val="ListParagraph"/>
        <w:pStyle w:val="List Paragraph"/>
        <w:numPr>
          <w:ilvl w:val="0"/>
          <w:numId w:val="1"/>
        </w:numPr>
        <w:spacing w:line="360" w:after="120" w:before="0"/>
        <w:ind w:left="360" w:right="0" w:hanging="360"/>
      </w:pPr>
      <w:r>
        <w:t xml:space="preserve">Advanced AI language models can translate complex genetic findings into plain language, but cloud-based AI services (GPT-4, Claude) would compromise the privacy-first mandate by transmitting user genomic data over the internet.</w:t>
      </w:r>
    </w:p>
    <w:p>
      <w:pPr>
        <w:pStyle w:val="ListParagraph"/>
        <w:pStyle w:val="List Paragraph"/>
        <w:numPr>
          <w:ilvl w:val="0"/>
          <w:numId w:val="1"/>
        </w:numPr>
        <w:spacing w:line="360" w:after="120" w:before="0"/>
        <w:ind w:left="360" w:right="0" w:hanging="360"/>
      </w:pPr>
      <w:r>
        <w:t xml:space="preserve">Current local analysis tools require significant bioinformatics expertise, making them inaccessible to non-scientist consumers who want to learn about their own genetics.</w:t>
      </w:r>
    </w:p>
    <w:p>
      <w:pPr>
        <w:spacing w:after="300"/>
      </w:pPr>
    </w:p>
    <w:p>
      <w:pPr>
        <w:pStyle w:val="Heading1"/>
        <w:pStyle w:val="Heading1"/>
        <w:spacing w:before="400" w:after="200"/>
      </w:pPr>
      <w:r>
        <w:t xml:space="preserve">3. Target Users &amp; Personas</w:t>
      </w:r>
    </w:p>
    <w:p>
      <w:pPr>
        <w:spacing w:after="200"/>
      </w:pPr>
      <w:r>
        <w:t xml:space="preserve">Allelio is designed for three distinct user personas, each with unique needs and technical proficiency levels:</w:t>
      </w:r>
    </w:p>
    <w:p>
      <w:pPr>
        <w:spacing w:after="200"/>
      </w:pPr>
    </w:p>
    <w:tbl>
      <w:tblPr>
        <w:tblW w:type="auto" w:w="100"/>
        <w:tblBorders>
          <w:top w:val="single" w:color="1E3A5F" w:sz="6"/>
          <w:left w:val="single" w:color="1E3A5F" w:sz="6"/>
          <w:bottom w:val="single" w:color="1E3A5F" w:sz="6"/>
          <w:right w:val="single" w:color="1E3A5F" w:sz="6"/>
          <w:insideH w:val="single" w:color="CCCCCC" w:sz="6"/>
          <w:insideV w:val="single" w:color="CCCCCC" w:sz="6"/>
        </w:tblBorders>
      </w:tblPr>
      <w:tblGrid>
        <w:gridCol w:w="100"/>
        <w:gridCol w:w="100"/>
        <w:gridCol w:w="100"/>
      </w:tblGrid>
      <w:tr>
        <w:trPr>
          <w:trHeight w:val="400" w:hRule="atLeast"/>
        </w:trPr>
        <w:tc>
          <w:tcPr>
            <w:shd w:fill="1E3A5F"/>
            <w:tcMar>
              <w:top w:type="dxa" w:w="100"/>
              <w:left w:type="dxa" w:w="100"/>
              <w:bottom w:type="dxa" w:w="100"/>
              <w:right w:type="dxa" w:w="100"/>
            </w:tcMar>
            <w:vAlign w:val="center"/>
          </w:tcPr>
          <w:p>
            <w:pPr>
              <w:spacing w:line="360"/>
            </w:pPr>
            <w:r>
              <w:t xml:space="preserve">Persona</w:t>
            </w:r>
          </w:p>
        </w:tc>
        <w:tc>
          <w:tcPr>
            <w:shd w:fill="1E3A5F"/>
            <w:tcMar>
              <w:top w:type="dxa" w:w="100"/>
              <w:left w:type="dxa" w:w="100"/>
              <w:bottom w:type="dxa" w:w="100"/>
              <w:right w:type="dxa" w:w="100"/>
            </w:tcMar>
            <w:vAlign w:val="center"/>
          </w:tcPr>
          <w:p>
            <w:pPr>
              <w:spacing w:line="360"/>
            </w:pPr>
            <w:r>
              <w:t xml:space="preserve">Profile</w:t>
            </w:r>
          </w:p>
        </w:tc>
        <w:tc>
          <w:tcPr>
            <w:shd w:fill="1E3A5F"/>
            <w:tcMar>
              <w:top w:type="dxa" w:w="100"/>
              <w:left w:type="dxa" w:w="100"/>
              <w:bottom w:type="dxa" w:w="100"/>
              <w:right w:type="dxa" w:w="100"/>
            </w:tcMar>
            <w:vAlign w:val="center"/>
          </w:tcPr>
          <w:p>
            <w:pPr>
              <w:spacing w:line="360"/>
            </w:pPr>
            <w:r>
              <w:t xml:space="preserve">Key Needs</w:t>
            </w:r>
          </w:p>
        </w:tc>
      </w:tr>
      <w:tr>
        <w:trPr>
          <w:trHeight w:val="400" w:hRule="atLeast"/>
        </w:trPr>
        <w:tc>
          <w:tcPr>
            <w:shd w:fill="FFFFFF"/>
            <w:tcMar>
              <w:top w:type="dxa" w:w="100"/>
              <w:left w:type="dxa" w:w="100"/>
              <w:bottom w:type="dxa" w:w="100"/>
              <w:right w:type="dxa" w:w="100"/>
            </w:tcMar>
            <w:vAlign w:val="center"/>
          </w:tcPr>
          <w:p>
            <w:pPr>
              <w:spacing w:line="360"/>
            </w:pPr>
            <w:r>
              <w:t xml:space="preserve">Sarah (The Privacy-Conscious Consumer)</w:t>
            </w:r>
          </w:p>
        </w:tc>
        <w:tc>
          <w:tcPr>
            <w:shd w:fill="FFFFFF"/>
            <w:tcMar>
              <w:top w:type="dxa" w:w="100"/>
              <w:left w:type="dxa" w:w="100"/>
              <w:bottom w:type="dxa" w:w="100"/>
              <w:right w:type="dxa" w:w="100"/>
            </w:tcMar>
            <w:vAlign w:val="center"/>
          </w:tcPr>
          <w:p>
            <w:pPr>
              <w:spacing w:line="360"/>
            </w:pPr>
            <w:r>
              <w:t xml:space="preserve">Age 35, software engineer, completed 23andMe, highly concerned about data privacy</w:t>
            </w:r>
          </w:p>
        </w:tc>
        <w:tc>
          <w:tcPr>
            <w:shd w:fill="FFFFFF"/>
            <w:tcMar>
              <w:top w:type="dxa" w:w="100"/>
              <w:left w:type="dxa" w:w="100"/>
              <w:bottom w:type="dxa" w:w="100"/>
              <w:right w:type="dxa" w:w="100"/>
            </w:tcMar>
            <w:vAlign w:val="center"/>
          </w:tcPr>
          <w:p>
            <w:pPr>
              <w:spacing w:line="360"/>
            </w:pPr>
            <w:r>
              <w:t xml:space="preserve">Wants to understand genetic findings without uploading sensitive data to cloud services</w:t>
            </w:r>
          </w:p>
        </w:tc>
      </w:tr>
      <w:tr>
        <w:trPr>
          <w:trHeight w:val="400" w:hRule="atLeast"/>
        </w:trPr>
        <w:tc>
          <w:tcPr>
            <w:shd w:fill="FFFFFF"/>
            <w:tcMar>
              <w:top w:type="dxa" w:w="100"/>
              <w:left w:type="dxa" w:w="100"/>
              <w:bottom w:type="dxa" w:w="100"/>
              <w:right w:type="dxa" w:w="100"/>
            </w:tcMar>
            <w:vAlign w:val="center"/>
          </w:tcPr>
          <w:p>
            <w:pPr>
              <w:spacing w:line="360"/>
            </w:pPr>
            <w:r>
              <w:t xml:space="preserve">Marcus (The Curious Explorer)</w:t>
            </w:r>
          </w:p>
        </w:tc>
        <w:tc>
          <w:tcPr>
            <w:shd w:fill="FFFFFF"/>
            <w:tcMar>
              <w:top w:type="dxa" w:w="100"/>
              <w:left w:type="dxa" w:w="100"/>
              <w:bottom w:type="dxa" w:w="100"/>
              <w:right w:type="dxa" w:w="100"/>
            </w:tcMar>
            <w:vAlign w:val="center"/>
          </w:tcPr>
          <w:p>
            <w:pPr>
              <w:spacing w:line="360"/>
            </w:pPr>
            <w:r>
              <w:t xml:space="preserve">Age 52, retired teacher, interested in ancestry and health traits, non-technical</w:t>
            </w:r>
          </w:p>
        </w:tc>
        <w:tc>
          <w:tcPr>
            <w:shd w:fill="FFFFFF"/>
            <w:tcMar>
              <w:top w:type="dxa" w:w="100"/>
              <w:left w:type="dxa" w:w="100"/>
              <w:bottom w:type="dxa" w:w="100"/>
              <w:right w:type="dxa" w:w="100"/>
            </w:tcMar>
            <w:vAlign w:val="center"/>
          </w:tcPr>
          <w:p>
            <w:pPr>
              <w:spacing w:line="360"/>
            </w:pPr>
            <w:r>
              <w:t xml:space="preserve">Needs simple interface to explore ancestry composition and disease risk factors</w:t>
            </w:r>
          </w:p>
        </w:tc>
      </w:tr>
      <w:tr>
        <w:trPr>
          <w:trHeight w:val="400" w:hRule="atLeast"/>
        </w:trPr>
        <w:tc>
          <w:tcPr>
            <w:shd w:fill="FFFFFF"/>
            <w:tcMar>
              <w:top w:type="dxa" w:w="100"/>
              <w:left w:type="dxa" w:w="100"/>
              <w:bottom w:type="dxa" w:w="100"/>
              <w:right w:type="dxa" w:w="100"/>
            </w:tcMar>
            <w:vAlign w:val="center"/>
          </w:tcPr>
          <w:p>
            <w:pPr>
              <w:spacing w:line="360"/>
            </w:pPr>
            <w:r>
              <w:t xml:space="preserve">Priya (The Bioinformatics Student)</w:t>
            </w:r>
          </w:p>
        </w:tc>
        <w:tc>
          <w:tcPr>
            <w:shd w:fill="FFFFFF"/>
            <w:tcMar>
              <w:top w:type="dxa" w:w="100"/>
              <w:left w:type="dxa" w:w="100"/>
              <w:bottom w:type="dxa" w:w="100"/>
              <w:right w:type="dxa" w:w="100"/>
            </w:tcMar>
            <w:vAlign w:val="center"/>
          </w:tcPr>
          <w:p>
            <w:pPr>
              <w:spacing w:line="360"/>
            </w:pPr>
            <w:r>
              <w:t xml:space="preserve">Age 24, graduate student in genetics, wants open-source learning resource</w:t>
            </w:r>
          </w:p>
        </w:tc>
        <w:tc>
          <w:tcPr>
            <w:shd w:fill="FFFFFF"/>
            <w:tcMar>
              <w:top w:type="dxa" w:w="100"/>
              <w:left w:type="dxa" w:w="100"/>
              <w:bottom w:type="dxa" w:w="100"/>
              <w:right w:type="dxa" w:w="100"/>
            </w:tcMar>
            <w:vAlign w:val="center"/>
          </w:tcPr>
          <w:p>
            <w:pPr>
              <w:spacing w:line="360"/>
            </w:pPr>
            <w:r>
              <w:t xml:space="preserve">Seeks transparent, well-documented tool to understand variant interpretation workflows</w:t>
            </w:r>
          </w:p>
        </w:tc>
      </w:tr>
    </w:tbl>
    <w:p>
      <w:pPr>
        <w:spacing w:after="300"/>
      </w:pPr>
    </w:p>
    <w:p>
      <w:pPr>
        <w:pStyle w:val="Heading1"/>
        <w:pStyle w:val="Heading1"/>
        <w:spacing w:before="400" w:after="200"/>
      </w:pPr>
      <w:r>
        <w:t xml:space="preserve">4. Product Requirements Document (PRD)</w:t>
      </w:r>
    </w:p>
    <w:p>
      <w:pPr>
        <w:pStyle w:val="Heading2"/>
        <w:pStyle w:val="Heading2"/>
        <w:spacing w:before="200" w:after="200"/>
      </w:pPr>
      <w:r>
        <w:t xml:space="preserve">4.1 Core Features</w:t>
      </w:r>
    </w:p>
    <w:p>
      <w:pPr>
        <w:pStyle w:val="ListParagraph"/>
        <w:pStyle w:val="List Paragraph"/>
        <w:numPr>
          <w:ilvl w:val="0"/>
          <w:numId w:val="1"/>
        </w:numPr>
        <w:spacing w:line="360" w:after="120" w:before="0"/>
        <w:ind w:left="360" w:right="0" w:hanging="360"/>
      </w:pPr>
      <w:r>
        <w:t xml:space="preserve">Parse consumer genomics file formats: 23andMe v5, AncestryDNA, and standard VCF (Variant Call Format) files</w:t>
      </w:r>
    </w:p>
    <w:p>
      <w:pPr>
        <w:pStyle w:val="ListParagraph"/>
        <w:pStyle w:val="List Paragraph"/>
        <w:numPr>
          <w:ilvl w:val="0"/>
          <w:numId w:val="1"/>
        </w:numPr>
        <w:spacing w:line="360" w:after="120" w:before="0"/>
        <w:ind w:left="360" w:right="0" w:hanging="360"/>
      </w:pPr>
      <w:r>
        <w:t xml:space="preserve">Download and locally index ClinVar and GWAS Catalog databases with automatic updates</w:t>
      </w:r>
    </w:p>
    <w:p>
      <w:pPr>
        <w:pStyle w:val="ListParagraph"/>
        <w:pStyle w:val="List Paragraph"/>
        <w:numPr>
          <w:ilvl w:val="0"/>
          <w:numId w:val="1"/>
        </w:numPr>
        <w:spacing w:line="360" w:after="120" w:before="0"/>
        <w:ind w:left="360" w:right="0" w:hanging="360"/>
      </w:pPr>
      <w:r>
        <w:t xml:space="preserve">Match user variants against reference databases to identify clinically significant and research-associated variants</w:t>
      </w:r>
    </w:p>
    <w:p>
      <w:pPr>
        <w:pStyle w:val="ListParagraph"/>
        <w:pStyle w:val="List Paragraph"/>
        <w:numPr>
          <w:ilvl w:val="0"/>
          <w:numId w:val="1"/>
        </w:numPr>
        <w:spacing w:line="360" w:after="120" w:before="0"/>
        <w:ind w:left="360" w:right="0" w:hanging="360"/>
      </w:pPr>
      <w:r>
        <w:t xml:space="preserve">Generate AI-powered plain-English explanations using local Ollama LLM (no external API calls)</w:t>
      </w:r>
    </w:p>
    <w:p>
      <w:pPr>
        <w:pStyle w:val="ListParagraph"/>
        <w:pStyle w:val="List Paragraph"/>
        <w:numPr>
          <w:ilvl w:val="0"/>
          <w:numId w:val="1"/>
        </w:numPr>
        <w:spacing w:line="360" w:after="120" w:before="0"/>
        <w:ind w:left="360" w:right="0" w:hanging="360"/>
      </w:pPr>
      <w:r>
        <w:t xml:space="preserve">Intuitive web UI running on localhost for non-technical users with drag-and-drop file upload</w:t>
      </w:r>
    </w:p>
    <w:p>
      <w:pPr>
        <w:pStyle w:val="ListParagraph"/>
        <w:pStyle w:val="List Paragraph"/>
        <w:numPr>
          <w:ilvl w:val="0"/>
          <w:numId w:val="1"/>
        </w:numPr>
        <w:spacing w:line="360" w:after="120" w:before="0"/>
        <w:ind w:left="360" w:right="0" w:hanging="360"/>
      </w:pPr>
      <w:r>
        <w:t xml:space="preserve">Comprehensive CLI interface using Click framework for power users and automated workflows</w:t>
      </w:r>
    </w:p>
    <w:p>
      <w:pPr>
        <w:pStyle w:val="ListParagraph"/>
        <w:pStyle w:val="List Paragraph"/>
        <w:numPr>
          <w:ilvl w:val="0"/>
          <w:numId w:val="1"/>
        </w:numPr>
        <w:spacing w:line="360" w:after="120" w:before="0"/>
        <w:ind w:left="360" w:right="0" w:hanging="360"/>
      </w:pPr>
      <w:r>
        <w:t xml:space="preserve">Export analysis results as professional HTML reports with rich formatting and printability</w:t>
      </w:r>
    </w:p>
    <w:p>
      <w:pPr>
        <w:pStyle w:val="ListParagraph"/>
        <w:pStyle w:val="List Paragraph"/>
        <w:numPr>
          <w:ilvl w:val="0"/>
          <w:numId w:val="1"/>
        </w:numPr>
        <w:spacing w:line="360" w:after="120" w:before="0"/>
        <w:ind w:left="360" w:right="0" w:hanging="360"/>
      </w:pPr>
      <w:r>
        <w:t xml:space="preserve">Prominent medical disclaimers on all outputs emphasizing tool is for educational use, not medical diagnosis</w:t>
      </w:r>
    </w:p>
    <w:p>
      <w:pPr>
        <w:spacing w:after="200"/>
      </w:pPr>
    </w:p>
    <w:p>
      <w:pPr>
        <w:pStyle w:val="Heading2"/>
        <w:pStyle w:val="Heading2"/>
        <w:spacing w:before="200" w:after="200"/>
      </w:pPr>
      <w:r>
        <w:t xml:space="preserve">4.2 Non-Functional Requirements</w:t>
      </w:r>
    </w:p>
    <w:p>
      <w:pPr>
        <w:pStyle w:val="ListParagraph"/>
        <w:pStyle w:val="List Paragraph"/>
        <w:numPr>
          <w:ilvl w:val="0"/>
          <w:numId w:val="1"/>
        </w:numPr>
        <w:spacing w:line="360" w:after="120" w:before="0"/>
        <w:ind w:left="360" w:right="0" w:hanging="360"/>
      </w:pPr>
      <w:r>
        <w:t xml:space="preserve">100% local processing: No network calls made after initial database download; all analysis occurs entirely offline</w:t>
      </w:r>
    </w:p>
    <w:p>
      <w:pPr>
        <w:pStyle w:val="ListParagraph"/>
        <w:pStyle w:val="List Paragraph"/>
        <w:numPr>
          <w:ilvl w:val="0"/>
          <w:numId w:val="1"/>
        </w:numPr>
        <w:spacing w:line="360" w:after="120" w:before="0"/>
        <w:ind w:left="360" w:right="0" w:hanging="360"/>
      </w:pPr>
      <w:r>
        <w:t xml:space="preserve">Performance: Sub-10-second analysis time for typical genotype files (500K-1M variants)</w:t>
      </w:r>
    </w:p>
    <w:p>
      <w:pPr>
        <w:pStyle w:val="ListParagraph"/>
        <w:pStyle w:val="List Paragraph"/>
        <w:numPr>
          <w:ilvl w:val="0"/>
          <w:numId w:val="1"/>
        </w:numPr>
        <w:spacing w:line="360" w:after="120" w:before="0"/>
        <w:ind w:left="360" w:right="0" w:hanging="360"/>
      </w:pPr>
      <w:r>
        <w:t xml:space="preserve">Cross-platform support: Windows, macOS, and Linux with identical functionality</w:t>
      </w:r>
    </w:p>
    <w:p>
      <w:pPr>
        <w:pStyle w:val="ListParagraph"/>
        <w:pStyle w:val="List Paragraph"/>
        <w:numPr>
          <w:ilvl w:val="0"/>
          <w:numId w:val="1"/>
        </w:numPr>
        <w:spacing w:line="360" w:after="120" w:before="0"/>
        <w:ind w:left="360" w:right="0" w:hanging="360"/>
      </w:pPr>
      <w:r>
        <w:t xml:space="preserve">Installation: Python 3.10+ via pip install; minimal external dependencies for maximum portability</w:t>
      </w:r>
    </w:p>
    <w:p>
      <w:pPr>
        <w:pStyle w:val="ListParagraph"/>
        <w:pStyle w:val="List Paragraph"/>
        <w:numPr>
          <w:ilvl w:val="0"/>
          <w:numId w:val="1"/>
        </w:numPr>
        <w:spacing w:line="360" w:after="120" w:before="0"/>
        <w:ind w:left="360" w:right="0" w:hanging="360"/>
      </w:pPr>
      <w:r>
        <w:t xml:space="preserve">No heavy C dependencies: Pure Python implementation allows users to audit code and run on any architecture</w:t>
      </w:r>
    </w:p>
    <w:p>
      <w:pPr>
        <w:spacing w:after="300"/>
      </w:pPr>
    </w:p>
    <w:p>
      <w:pPr>
        <w:pStyle w:val="Heading1"/>
        <w:pStyle w:val="Heading1"/>
        <w:spacing w:before="400" w:after="200"/>
      </w:pPr>
      <w:r>
        <w:t xml:space="preserve">5. Architecture Overview</w:t>
      </w:r>
    </w:p>
    <w:p>
      <w:pPr>
        <w:spacing w:after="200"/>
      </w:pPr>
      <w:r>
        <w:t xml:space="preserve">Allelio follows a modular pipeline architecture optimized for local processing:</w:t>
      </w:r>
    </w:p>
    <w:p>
      <w:pPr>
        <w:spacing w:after="200"/>
      </w:pPr>
    </w:p>
    <w:tbl>
      <w:tblPr>
        <w:tblW w:type="auto" w:w="100"/>
        <w:tblBorders>
          <w:top w:val="single" w:color="1E3A5F" w:sz="6"/>
          <w:left w:val="single" w:color="1E3A5F" w:sz="6"/>
          <w:bottom w:val="single" w:color="1E3A5F" w:sz="6"/>
          <w:right w:val="single" w:color="1E3A5F" w:sz="6"/>
          <w:insideH w:val="single" w:color="CCCCCC" w:sz="6"/>
          <w:insideV w:val="single" w:color="CCCCCC" w:sz="6"/>
        </w:tblBorders>
      </w:tblPr>
      <w:tblGrid>
        <w:gridCol w:w="100"/>
        <w:gridCol w:w="100"/>
        <w:gridCol w:w="100"/>
      </w:tblGrid>
      <w:tr>
        <w:trPr>
          <w:trHeight w:val="400" w:hRule="atLeast"/>
        </w:trPr>
        <w:tc>
          <w:tcPr>
            <w:shd w:fill="1E3A5F"/>
            <w:tcMar>
              <w:top w:type="dxa" w:w="100"/>
              <w:left w:type="dxa" w:w="100"/>
              <w:bottom w:type="dxa" w:w="100"/>
              <w:right w:type="dxa" w:w="100"/>
            </w:tcMar>
            <w:vAlign w:val="center"/>
          </w:tcPr>
          <w:p>
            <w:pPr>
              <w:spacing w:line="360"/>
            </w:pPr>
            <w:r>
              <w:t xml:space="preserve">Component</w:t>
            </w:r>
          </w:p>
        </w:tc>
        <w:tc>
          <w:tcPr>
            <w:shd w:fill="1E3A5F"/>
            <w:tcMar>
              <w:top w:type="dxa" w:w="100"/>
              <w:left w:type="dxa" w:w="100"/>
              <w:bottom w:type="dxa" w:w="100"/>
              <w:right w:type="dxa" w:w="100"/>
            </w:tcMar>
            <w:vAlign w:val="center"/>
          </w:tcPr>
          <w:p>
            <w:pPr>
              <w:spacing w:line="360"/>
            </w:pPr>
            <w:r>
              <w:t xml:space="preserve">Technology</w:t>
            </w:r>
          </w:p>
        </w:tc>
        <w:tc>
          <w:tcPr>
            <w:shd w:fill="1E3A5F"/>
            <w:tcMar>
              <w:top w:type="dxa" w:w="100"/>
              <w:left w:type="dxa" w:w="100"/>
              <w:bottom w:type="dxa" w:w="100"/>
              <w:right w:type="dxa" w:w="100"/>
            </w:tcMar>
            <w:vAlign w:val="center"/>
          </w:tcPr>
          <w:p>
            <w:pPr>
              <w:spacing w:line="360"/>
            </w:pPr>
            <w:r>
              <w:t xml:space="preserve">Purpose</w:t>
            </w:r>
          </w:p>
        </w:tc>
      </w:tr>
      <w:tr>
        <w:trPr>
          <w:trHeight w:val="400" w:hRule="atLeast"/>
        </w:trPr>
        <w:tc>
          <w:tcPr>
            <w:shd w:fill="FFFFFF"/>
            <w:tcMar>
              <w:top w:type="dxa" w:w="100"/>
              <w:left w:type="dxa" w:w="100"/>
              <w:bottom w:type="dxa" w:w="100"/>
              <w:right w:type="dxa" w:w="100"/>
            </w:tcMar>
            <w:vAlign w:val="center"/>
          </w:tcPr>
          <w:p>
            <w:pPr>
              <w:spacing w:line="360"/>
            </w:pPr>
            <w:r>
              <w:t xml:space="preserve">File Parsers</w:t>
            </w:r>
          </w:p>
        </w:tc>
        <w:tc>
          <w:tcPr>
            <w:shd w:fill="FFFFFF"/>
            <w:tcMar>
              <w:top w:type="dxa" w:w="100"/>
              <w:left w:type="dxa" w:w="100"/>
              <w:bottom w:type="dxa" w:w="100"/>
              <w:right w:type="dxa" w:w="100"/>
            </w:tcMar>
            <w:vAlign w:val="center"/>
          </w:tcPr>
          <w:p>
            <w:pPr>
              <w:spacing w:line="360"/>
            </w:pPr>
            <w:r>
              <w:t xml:space="preserve">Python (regex + pandas)</w:t>
            </w:r>
          </w:p>
        </w:tc>
        <w:tc>
          <w:tcPr>
            <w:shd w:fill="FFFFFF"/>
            <w:tcMar>
              <w:top w:type="dxa" w:w="100"/>
              <w:left w:type="dxa" w:w="100"/>
              <w:bottom w:type="dxa" w:w="100"/>
              <w:right w:type="dxa" w:w="100"/>
            </w:tcMar>
            <w:vAlign w:val="center"/>
          </w:tcPr>
          <w:p>
            <w:pPr>
              <w:spacing w:line="360"/>
            </w:pPr>
            <w:r>
              <w:t xml:space="preserve">Parse 23andMe, AncestryDNA, VCF formats</w:t>
            </w:r>
          </w:p>
        </w:tc>
      </w:tr>
      <w:tr>
        <w:trPr>
          <w:trHeight w:val="400" w:hRule="atLeast"/>
        </w:trPr>
        <w:tc>
          <w:tcPr>
            <w:shd w:fill="FFFFFF"/>
            <w:tcMar>
              <w:top w:type="dxa" w:w="100"/>
              <w:left w:type="dxa" w:w="100"/>
              <w:bottom w:type="dxa" w:w="100"/>
              <w:right w:type="dxa" w:w="100"/>
            </w:tcMar>
            <w:vAlign w:val="center"/>
          </w:tcPr>
          <w:p>
            <w:pPr>
              <w:spacing w:line="360"/>
            </w:pPr>
            <w:r>
              <w:t xml:space="preserve">Database Layer</w:t>
            </w:r>
          </w:p>
        </w:tc>
        <w:tc>
          <w:tcPr>
            <w:shd w:fill="FFFFFF"/>
            <w:tcMar>
              <w:top w:type="dxa" w:w="100"/>
              <w:left w:type="dxa" w:w="100"/>
              <w:bottom w:type="dxa" w:w="100"/>
              <w:right w:type="dxa" w:w="100"/>
            </w:tcMar>
            <w:vAlign w:val="center"/>
          </w:tcPr>
          <w:p>
            <w:pPr>
              <w:spacing w:line="360"/>
            </w:pPr>
            <w:r>
              <w:t xml:space="preserve">SQLite</w:t>
            </w:r>
          </w:p>
        </w:tc>
        <w:tc>
          <w:tcPr>
            <w:shd w:fill="FFFFFF"/>
            <w:tcMar>
              <w:top w:type="dxa" w:w="100"/>
              <w:left w:type="dxa" w:w="100"/>
              <w:bottom w:type="dxa" w:w="100"/>
              <w:right w:type="dxa" w:w="100"/>
            </w:tcMar>
            <w:vAlign w:val="center"/>
          </w:tcPr>
          <w:p>
            <w:pPr>
              <w:spacing w:line="360"/>
            </w:pPr>
            <w:r>
              <w:t xml:space="preserve">Index ClinVar, GWAS Catalog locally</w:t>
            </w:r>
          </w:p>
        </w:tc>
      </w:tr>
      <w:tr>
        <w:trPr>
          <w:trHeight w:val="400" w:hRule="atLeast"/>
        </w:trPr>
        <w:tc>
          <w:tcPr>
            <w:shd w:fill="FFFFFF"/>
            <w:tcMar>
              <w:top w:type="dxa" w:w="100"/>
              <w:left w:type="dxa" w:w="100"/>
              <w:bottom w:type="dxa" w:w="100"/>
              <w:right w:type="dxa" w:w="100"/>
            </w:tcMar>
            <w:vAlign w:val="center"/>
          </w:tcPr>
          <w:p>
            <w:pPr>
              <w:spacing w:line="360"/>
            </w:pPr>
            <w:r>
              <w:t xml:space="preserve">Analysis Engine</w:t>
            </w:r>
          </w:p>
        </w:tc>
        <w:tc>
          <w:tcPr>
            <w:shd w:fill="FFFFFF"/>
            <w:tcMar>
              <w:top w:type="dxa" w:w="100"/>
              <w:left w:type="dxa" w:w="100"/>
              <w:bottom w:type="dxa" w:w="100"/>
              <w:right w:type="dxa" w:w="100"/>
            </w:tcMar>
            <w:vAlign w:val="center"/>
          </w:tcPr>
          <w:p>
            <w:pPr>
              <w:spacing w:line="360"/>
            </w:pPr>
            <w:r>
              <w:t xml:space="preserve">Python (NumPy, SciPy)</w:t>
            </w:r>
          </w:p>
        </w:tc>
        <w:tc>
          <w:tcPr>
            <w:shd w:fill="FFFFFF"/>
            <w:tcMar>
              <w:top w:type="dxa" w:w="100"/>
              <w:left w:type="dxa" w:w="100"/>
              <w:bottom w:type="dxa" w:w="100"/>
              <w:right w:type="dxa" w:w="100"/>
            </w:tcMar>
            <w:vAlign w:val="center"/>
          </w:tcPr>
          <w:p>
            <w:pPr>
              <w:spacing w:line="360"/>
            </w:pPr>
            <w:r>
              <w:t xml:space="preserve">Variant lookup and filtering</w:t>
            </w:r>
          </w:p>
        </w:tc>
      </w:tr>
      <w:tr>
        <w:trPr>
          <w:trHeight w:val="400" w:hRule="atLeast"/>
        </w:trPr>
        <w:tc>
          <w:tcPr>
            <w:shd w:fill="FFFFFF"/>
            <w:tcMar>
              <w:top w:type="dxa" w:w="100"/>
              <w:left w:type="dxa" w:w="100"/>
              <w:bottom w:type="dxa" w:w="100"/>
              <w:right w:type="dxa" w:w="100"/>
            </w:tcMar>
            <w:vAlign w:val="center"/>
          </w:tcPr>
          <w:p>
            <w:pPr>
              <w:spacing w:line="360"/>
            </w:pPr>
            <w:r>
              <w:t xml:space="preserve">AI Engine</w:t>
            </w:r>
          </w:p>
        </w:tc>
        <w:tc>
          <w:tcPr>
            <w:shd w:fill="FFFFFF"/>
            <w:tcMar>
              <w:top w:type="dxa" w:w="100"/>
              <w:left w:type="dxa" w:w="100"/>
              <w:bottom w:type="dxa" w:w="100"/>
              <w:right w:type="dxa" w:w="100"/>
            </w:tcMar>
            <w:vAlign w:val="center"/>
          </w:tcPr>
          <w:p>
            <w:pPr>
              <w:spacing w:line="360"/>
            </w:pPr>
            <w:r>
              <w:t xml:space="preserve">Ollama (local LLM)</w:t>
            </w:r>
          </w:p>
        </w:tc>
        <w:tc>
          <w:tcPr>
            <w:shd w:fill="FFFFFF"/>
            <w:tcMar>
              <w:top w:type="dxa" w:w="100"/>
              <w:left w:type="dxa" w:w="100"/>
              <w:bottom w:type="dxa" w:w="100"/>
              <w:right w:type="dxa" w:w="100"/>
            </w:tcMar>
            <w:vAlign w:val="center"/>
          </w:tcPr>
          <w:p>
            <w:pPr>
              <w:spacing w:line="360"/>
            </w:pPr>
            <w:r>
              <w:t xml:space="preserve">Generate plain-English explanations</w:t>
            </w:r>
          </w:p>
        </w:tc>
      </w:tr>
      <w:tr>
        <w:trPr>
          <w:trHeight w:val="400" w:hRule="atLeast"/>
        </w:trPr>
        <w:tc>
          <w:tcPr>
            <w:shd w:fill="FFFFFF"/>
            <w:tcMar>
              <w:top w:type="dxa" w:w="100"/>
              <w:left w:type="dxa" w:w="100"/>
              <w:bottom w:type="dxa" w:w="100"/>
              <w:right w:type="dxa" w:w="100"/>
            </w:tcMar>
            <w:vAlign w:val="center"/>
          </w:tcPr>
          <w:p>
            <w:pPr>
              <w:spacing w:line="360"/>
            </w:pPr>
            <w:r>
              <w:t xml:space="preserve">Web UI</w:t>
            </w:r>
          </w:p>
        </w:tc>
        <w:tc>
          <w:tcPr>
            <w:shd w:fill="FFFFFF"/>
            <w:tcMar>
              <w:top w:type="dxa" w:w="100"/>
              <w:left w:type="dxa" w:w="100"/>
              <w:bottom w:type="dxa" w:w="100"/>
              <w:right w:type="dxa" w:w="100"/>
            </w:tcMar>
            <w:vAlign w:val="center"/>
          </w:tcPr>
          <w:p>
            <w:pPr>
              <w:spacing w:line="360"/>
            </w:pPr>
            <w:r>
              <w:t xml:space="preserve">FastAPI + Vue.js</w:t>
            </w:r>
          </w:p>
        </w:tc>
        <w:tc>
          <w:tcPr>
            <w:shd w:fill="FFFFFF"/>
            <w:tcMar>
              <w:top w:type="dxa" w:w="100"/>
              <w:left w:type="dxa" w:w="100"/>
              <w:bottom w:type="dxa" w:w="100"/>
              <w:right w:type="dxa" w:w="100"/>
            </w:tcMar>
            <w:vAlign w:val="center"/>
          </w:tcPr>
          <w:p>
            <w:pPr>
              <w:spacing w:line="360"/>
            </w:pPr>
            <w:r>
              <w:t xml:space="preserve">User-friendly interface on localhost</w:t>
            </w:r>
          </w:p>
        </w:tc>
      </w:tr>
      <w:tr>
        <w:trPr>
          <w:trHeight w:val="400" w:hRule="atLeast"/>
        </w:trPr>
        <w:tc>
          <w:tcPr>
            <w:shd w:fill="FFFFFF"/>
            <w:tcMar>
              <w:top w:type="dxa" w:w="100"/>
              <w:left w:type="dxa" w:w="100"/>
              <w:bottom w:type="dxa" w:w="100"/>
              <w:right w:type="dxa" w:w="100"/>
            </w:tcMar>
            <w:vAlign w:val="center"/>
          </w:tcPr>
          <w:p>
            <w:pPr>
              <w:spacing w:line="360"/>
            </w:pPr>
            <w:r>
              <w:t xml:space="preserve">CLI</w:t>
            </w:r>
          </w:p>
        </w:tc>
        <w:tc>
          <w:tcPr>
            <w:shd w:fill="FFFFFF"/>
            <w:tcMar>
              <w:top w:type="dxa" w:w="100"/>
              <w:left w:type="dxa" w:w="100"/>
              <w:bottom w:type="dxa" w:w="100"/>
              <w:right w:type="dxa" w:w="100"/>
            </w:tcMar>
            <w:vAlign w:val="center"/>
          </w:tcPr>
          <w:p>
            <w:pPr>
              <w:spacing w:line="360"/>
            </w:pPr>
            <w:r>
              <w:t xml:space="preserve">Click (Python)</w:t>
            </w:r>
          </w:p>
        </w:tc>
        <w:tc>
          <w:tcPr>
            <w:shd w:fill="FFFFFF"/>
            <w:tcMar>
              <w:top w:type="dxa" w:w="100"/>
              <w:left w:type="dxa" w:w="100"/>
              <w:bottom w:type="dxa" w:w="100"/>
              <w:right w:type="dxa" w:w="100"/>
            </w:tcMar>
            <w:vAlign w:val="center"/>
          </w:tcPr>
          <w:p>
            <w:pPr>
              <w:spacing w:line="360"/>
            </w:pPr>
            <w:r>
              <w:t xml:space="preserve">Command-line interface for power users</w:t>
            </w:r>
          </w:p>
        </w:tc>
      </w:tr>
      <w:tr>
        <w:trPr>
          <w:trHeight w:val="400" w:hRule="atLeast"/>
        </w:trPr>
        <w:tc>
          <w:tcPr>
            <w:shd w:fill="FFFFFF"/>
            <w:tcMar>
              <w:top w:type="dxa" w:w="100"/>
              <w:left w:type="dxa" w:w="100"/>
              <w:bottom w:type="dxa" w:w="100"/>
              <w:right w:type="dxa" w:w="100"/>
            </w:tcMar>
            <w:vAlign w:val="center"/>
          </w:tcPr>
          <w:p>
            <w:pPr>
              <w:spacing w:line="360"/>
            </w:pPr>
            <w:r>
              <w:t xml:space="preserve">Report Generator</w:t>
            </w:r>
          </w:p>
        </w:tc>
        <w:tc>
          <w:tcPr>
            <w:shd w:fill="FFFFFF"/>
            <w:tcMar>
              <w:top w:type="dxa" w:w="100"/>
              <w:left w:type="dxa" w:w="100"/>
              <w:bottom w:type="dxa" w:w="100"/>
              <w:right w:type="dxa" w:w="100"/>
            </w:tcMar>
            <w:vAlign w:val="center"/>
          </w:tcPr>
          <w:p>
            <w:pPr>
              <w:spacing w:line="360"/>
            </w:pPr>
            <w:r>
              <w:t xml:space="preserve">Jinja2 + HTML/CSS</w:t>
            </w:r>
          </w:p>
        </w:tc>
        <w:tc>
          <w:tcPr>
            <w:shd w:fill="FFFFFF"/>
            <w:tcMar>
              <w:top w:type="dxa" w:w="100"/>
              <w:left w:type="dxa" w:w="100"/>
              <w:bottom w:type="dxa" w:w="100"/>
              <w:right w:type="dxa" w:w="100"/>
            </w:tcMar>
            <w:vAlign w:val="center"/>
          </w:tcPr>
          <w:p>
            <w:pPr>
              <w:spacing w:line="360"/>
            </w:pPr>
            <w:r>
              <w:t xml:space="preserve">Export results as HTML reports</w:t>
            </w:r>
          </w:p>
        </w:tc>
      </w:tr>
    </w:tbl>
    <w:p>
      <w:pPr>
        <w:spacing w:after="200"/>
      </w:pPr>
    </w:p>
    <w:p>
      <w:pPr>
        <w:pStyle w:val="Heading2"/>
        <w:pStyle w:val="Heading2"/>
        <w:spacing w:before="200" w:after="200"/>
      </w:pPr>
      <w:r>
        <w:t xml:space="preserve">5.1 Processing Pipeline</w:t>
      </w:r>
    </w:p>
    <w:p>
      <w:pPr>
        <w:pStyle w:val="Normal"/>
        <w:spacing w:line="360" w:after="200" w:before="0"/>
        <w:ind w:left="0" w:right="0"/>
        <w:jc w:val="left"/>
      </w:pPr>
      <w:r>
        <w:t xml:space="preserve">File Parser</w:t>
      </w:r>
    </w:p>
    <w:p>
      <w:pPr>
        <w:pStyle w:val="ListParagraph"/>
        <w:pStyle w:val="List Paragraph"/>
        <w:numPr>
          <w:ilvl w:val="1"/>
          <w:numId w:val="1"/>
        </w:numPr>
        <w:spacing w:line="360" w:after="120" w:before="0"/>
        <w:ind w:left="720" w:right="0" w:hanging="360"/>
      </w:pPr>
      <w:r>
        <w:t xml:space="preserve">Accepts 23andMe, AncestryDNA, or VCF input files</w:t>
      </w:r>
    </w:p>
    <w:p>
      <w:pPr>
        <w:pStyle w:val="ListParagraph"/>
        <w:pStyle w:val="List Paragraph"/>
        <w:numPr>
          <w:ilvl w:val="1"/>
          <w:numId w:val="1"/>
        </w:numPr>
        <w:spacing w:line="360" w:after="120" w:before="0"/>
        <w:ind w:left="720" w:right="0" w:hanging="360"/>
      </w:pPr>
      <w:r>
        <w:t xml:space="preserve">Validates file format and extracts variant genotypes</w:t>
      </w:r>
    </w:p>
    <w:p>
      <w:pPr>
        <w:spacing w:after="100"/>
      </w:pPr>
    </w:p>
    <w:p>
      <w:pPr>
        <w:pStyle w:val="Normal"/>
        <w:spacing w:line="360" w:after="200" w:before="0"/>
        <w:ind w:left="0" w:right="0"/>
        <w:jc w:val="left"/>
      </w:pPr>
      <w:r>
        <w:t xml:space="preserve">Variant Lookup</w:t>
      </w:r>
    </w:p>
    <w:p>
      <w:pPr>
        <w:pStyle w:val="ListParagraph"/>
        <w:pStyle w:val="List Paragraph"/>
        <w:numPr>
          <w:ilvl w:val="1"/>
          <w:numId w:val="1"/>
        </w:numPr>
        <w:spacing w:line="360" w:after="120" w:before="0"/>
        <w:ind w:left="720" w:right="0" w:hanging="360"/>
      </w:pPr>
      <w:r>
        <w:t xml:space="preserve">Queries local SQLite database for ClinVar annotations</w:t>
      </w:r>
    </w:p>
    <w:p>
      <w:pPr>
        <w:pStyle w:val="ListParagraph"/>
        <w:pStyle w:val="List Paragraph"/>
        <w:numPr>
          <w:ilvl w:val="1"/>
          <w:numId w:val="1"/>
        </w:numPr>
        <w:spacing w:line="360" w:after="120" w:before="0"/>
        <w:ind w:left="720" w:right="0" w:hanging="360"/>
      </w:pPr>
      <w:r>
        <w:t xml:space="preserve">Cross-references GWAS Catalog for disease/trait associations</w:t>
      </w:r>
    </w:p>
    <w:p>
      <w:pPr>
        <w:pStyle w:val="ListParagraph"/>
        <w:pStyle w:val="List Paragraph"/>
        <w:numPr>
          <w:ilvl w:val="1"/>
          <w:numId w:val="1"/>
        </w:numPr>
        <w:spacing w:line="360" w:after="120" w:before="0"/>
        <w:ind w:left="720" w:right="0" w:hanging="360"/>
      </w:pPr>
      <w:r>
        <w:t xml:space="preserve">Filters variants by clinical significance thresholds</w:t>
      </w:r>
    </w:p>
    <w:p>
      <w:pPr>
        <w:spacing w:after="100"/>
      </w:pPr>
    </w:p>
    <w:p>
      <w:pPr>
        <w:pStyle w:val="Normal"/>
        <w:spacing w:line="360" w:after="200" w:before="0"/>
        <w:ind w:left="0" w:right="0"/>
        <w:jc w:val="left"/>
      </w:pPr>
      <w:r>
        <w:t xml:space="preserve">AI Explainer</w:t>
      </w:r>
    </w:p>
    <w:p>
      <w:pPr>
        <w:pStyle w:val="ListParagraph"/>
        <w:pStyle w:val="List Paragraph"/>
        <w:numPr>
          <w:ilvl w:val="1"/>
          <w:numId w:val="1"/>
        </w:numPr>
        <w:spacing w:line="360" w:after="120" w:before="0"/>
        <w:ind w:left="720" w:right="0" w:hanging="360"/>
      </w:pPr>
      <w:r>
        <w:t xml:space="preserve">Sends variant data + reference annotations to local Ollama LLM</w:t>
      </w:r>
    </w:p>
    <w:p>
      <w:pPr>
        <w:pStyle w:val="ListParagraph"/>
        <w:pStyle w:val="List Paragraph"/>
        <w:numPr>
          <w:ilvl w:val="1"/>
          <w:numId w:val="1"/>
        </w:numPr>
        <w:spacing w:line="360" w:after="120" w:before="0"/>
        <w:ind w:left="720" w:right="0" w:hanging="360"/>
      </w:pPr>
      <w:r>
        <w:t xml:space="preserve">Generates user-friendly explanations in plain English</w:t>
      </w:r>
    </w:p>
    <w:p>
      <w:pPr>
        <w:pStyle w:val="ListParagraph"/>
        <w:pStyle w:val="List Paragraph"/>
        <w:numPr>
          <w:ilvl w:val="1"/>
          <w:numId w:val="1"/>
        </w:numPr>
        <w:spacing w:line="360" w:after="120" w:before="0"/>
        <w:ind w:left="720" w:right="0" w:hanging="360"/>
      </w:pPr>
      <w:r>
        <w:t xml:space="preserve">Validates outputs for safety and accuracy</w:t>
      </w:r>
    </w:p>
    <w:p>
      <w:pPr>
        <w:spacing w:after="100"/>
      </w:pPr>
    </w:p>
    <w:p>
      <w:pPr>
        <w:pStyle w:val="Normal"/>
        <w:spacing w:line="360" w:after="200" w:before="0"/>
        <w:ind w:left="0" w:right="0"/>
        <w:jc w:val="left"/>
      </w:pPr>
      <w:r>
        <w:t xml:space="preserve">Report Generation</w:t>
      </w:r>
    </w:p>
    <w:p>
      <w:pPr>
        <w:pStyle w:val="ListParagraph"/>
        <w:pStyle w:val="List Paragraph"/>
        <w:numPr>
          <w:ilvl w:val="1"/>
          <w:numId w:val="1"/>
        </w:numPr>
        <w:spacing w:line="360" w:after="120" w:before="0"/>
        <w:ind w:left="720" w:right="0" w:hanging="360"/>
      </w:pPr>
      <w:r>
        <w:t xml:space="preserve">Formats results as structured JSON, HTML, or command-line output</w:t>
      </w:r>
    </w:p>
    <w:p>
      <w:pPr>
        <w:pStyle w:val="ListParagraph"/>
        <w:pStyle w:val="List Paragraph"/>
        <w:numPr>
          <w:ilvl w:val="1"/>
          <w:numId w:val="1"/>
        </w:numPr>
        <w:spacing w:line="360" w:after="120" w:before="0"/>
        <w:ind w:left="720" w:right="0" w:hanging="360"/>
      </w:pPr>
      <w:r>
        <w:t xml:space="preserve">Includes medical disclaimers and data quality metrics</w:t>
      </w:r>
    </w:p>
    <w:p>
      <w:pPr>
        <w:pStyle w:val="ListParagraph"/>
        <w:pStyle w:val="List Paragraph"/>
        <w:numPr>
          <w:ilvl w:val="1"/>
          <w:numId w:val="1"/>
        </w:numPr>
        <w:spacing w:line="360" w:after="120" w:before="0"/>
        <w:ind w:left="720" w:right="0" w:hanging="360"/>
      </w:pPr>
      <w:r>
        <w:t xml:space="preserve">Provides export-ready reports for user review</w:t>
      </w:r>
    </w:p>
    <w:p>
      <w:pPr>
        <w:spacing w:after="300"/>
      </w:pPr>
    </w:p>
    <w:p>
      <w:pPr>
        <w:pStyle w:val="Heading1"/>
        <w:pStyle w:val="Heading1"/>
        <w:spacing w:before="400" w:after="200"/>
      </w:pPr>
      <w:r>
        <w:t xml:space="preserve">6. Privacy &amp; Safety Framework</w:t>
      </w:r>
    </w:p>
    <w:p>
      <w:pPr>
        <w:pStyle w:val="Heading2"/>
        <w:pStyle w:val="Heading2"/>
        <w:spacing w:before="200" w:after="200"/>
      </w:pPr>
      <w:r>
        <w:t xml:space="preserve">6.1 Privacy Architecture</w:t>
      </w:r>
    </w:p>
    <w:p>
      <w:pPr>
        <w:pStyle w:val="ListParagraph"/>
        <w:pStyle w:val="List Paragraph"/>
        <w:numPr>
          <w:ilvl w:val="0"/>
          <w:numId w:val="1"/>
        </w:numPr>
        <w:spacing w:line="360" w:after="120" w:before="0"/>
        <w:ind w:left="360" w:right="0" w:hanging="360"/>
      </w:pPr>
      <w:r>
        <w:t xml:space="preserve">All processing happens on-device: User genotype files are processed locally in memory and never transmitted or copied</w:t>
      </w:r>
    </w:p>
    <w:p>
      <w:pPr>
        <w:pStyle w:val="ListParagraph"/>
        <w:pStyle w:val="List Paragraph"/>
        <w:numPr>
          <w:ilvl w:val="0"/>
          <w:numId w:val="1"/>
        </w:numPr>
        <w:spacing w:line="360" w:after="120" w:before="0"/>
        <w:ind w:left="360" w:right="0" w:hanging="360"/>
      </w:pPr>
      <w:r>
        <w:t xml:space="preserve">Zero telemetry: No analytics, crash reporting, usage tracking, or data collection of any kind</w:t>
      </w:r>
    </w:p>
    <w:p>
      <w:pPr>
        <w:pStyle w:val="ListParagraph"/>
        <w:pStyle w:val="List Paragraph"/>
        <w:numPr>
          <w:ilvl w:val="0"/>
          <w:numId w:val="1"/>
        </w:numPr>
        <w:spacing w:line="360" w:after="120" w:before="0"/>
        <w:ind w:left="360" w:right="0" w:hanging="360"/>
      </w:pPr>
      <w:r>
        <w:t xml:space="preserve">Transparent code: Open-source repository allows users to audit all processing logic and verify privacy claims</w:t>
      </w:r>
    </w:p>
    <w:p>
      <w:pPr>
        <w:pStyle w:val="ListParagraph"/>
        <w:pStyle w:val="List Paragraph"/>
        <w:numPr>
          <w:ilvl w:val="0"/>
          <w:numId w:val="1"/>
        </w:numPr>
        <w:spacing w:line="360" w:after="120" w:before="0"/>
        <w:ind w:left="360" w:right="0" w:hanging="360"/>
      </w:pPr>
      <w:r>
        <w:t xml:space="preserve">Offline-first design: After initial database downloads, the tool functions entirely without internet connectivity</w:t>
      </w:r>
    </w:p>
    <w:p>
      <w:pPr>
        <w:spacing w:after="200"/>
      </w:pPr>
    </w:p>
    <w:p>
      <w:pPr>
        <w:pStyle w:val="Heading2"/>
        <w:pStyle w:val="Heading2"/>
        <w:spacing w:before="200" w:after="200"/>
      </w:pPr>
      <w:r>
        <w:t xml:space="preserve">6.2 Safety &amp; Medical Considerations</w:t>
      </w:r>
    </w:p>
    <w:p>
      <w:pPr>
        <w:pStyle w:val="ListParagraph"/>
        <w:pStyle w:val="List Paragraph"/>
        <w:numPr>
          <w:ilvl w:val="0"/>
          <w:numId w:val="1"/>
        </w:numPr>
        <w:spacing w:line="360" w:after="120" w:before="0"/>
        <w:ind w:left="360" w:right="0" w:hanging="360"/>
      </w:pPr>
      <w:r>
        <w:t xml:space="preserve">Medical disclaimers on every output emphasizing: not a substitute for professional genetic counseling; results are educational</w:t>
      </w:r>
    </w:p>
    <w:p>
      <w:pPr>
        <w:pStyle w:val="ListParagraph"/>
        <w:pStyle w:val="List Paragraph"/>
        <w:numPr>
          <w:ilvl w:val="0"/>
          <w:numId w:val="1"/>
        </w:numPr>
        <w:spacing w:line="360" w:after="120" w:before="0"/>
        <w:ind w:left="360" w:right="0" w:hanging="360"/>
      </w:pPr>
      <w:r>
        <w:t xml:space="preserve">High-impact gene warnings for clinically critical variants (BRCA1/2, APOE4, HFE hemochromatosis markers, LDLR familial hypercholesterolemia)</w:t>
      </w:r>
    </w:p>
    <w:p>
      <w:pPr>
        <w:pStyle w:val="ListParagraph"/>
        <w:pStyle w:val="List Paragraph"/>
        <w:numPr>
          <w:ilvl w:val="0"/>
          <w:numId w:val="1"/>
        </w:numPr>
        <w:spacing w:line="360" w:after="120" w:before="0"/>
        <w:ind w:left="360" w:right="0" w:hanging="360"/>
      </w:pPr>
      <w:r>
        <w:t xml:space="preserve">AI output validation: Responses from Ollama are checked against known variant databases to prevent hallucinations</w:t>
      </w:r>
    </w:p>
    <w:p>
      <w:pPr>
        <w:pStyle w:val="ListParagraph"/>
        <w:pStyle w:val="List Paragraph"/>
        <w:numPr>
          <w:ilvl w:val="0"/>
          <w:numId w:val="1"/>
        </w:numPr>
        <w:spacing w:line="360" w:after="120" w:before="0"/>
        <w:ind w:left="360" w:right="0" w:hanging="360"/>
      </w:pPr>
      <w:r>
        <w:t xml:space="preserve">Confidence scoring: Each variant interpretation includes confidence level based on evidence quality</w:t>
      </w:r>
    </w:p>
    <w:p>
      <w:pPr>
        <w:pStyle w:val="ListParagraph"/>
        <w:pStyle w:val="List Paragraph"/>
        <w:numPr>
          <w:ilvl w:val="0"/>
          <w:numId w:val="1"/>
        </w:numPr>
        <w:spacing w:line="360" w:after="120" w:before="0"/>
        <w:ind w:left="360" w:right="0" w:hanging="360"/>
      </w:pPr>
      <w:r>
        <w:t xml:space="preserve">Data quality assessment: Reports include read depth, genotype quality, and other metrics to assess reliability</w:t>
      </w:r>
    </w:p>
    <w:p>
      <w:pPr>
        <w:spacing w:after="300"/>
      </w:pPr>
    </w:p>
    <w:p>
      <w:pPr>
        <w:pStyle w:val="Heading1"/>
        <w:pStyle w:val="Heading1"/>
        <w:spacing w:before="400" w:after="200"/>
      </w:pPr>
      <w:r>
        <w:t xml:space="preserve">7. Roadmap</w:t>
      </w:r>
    </w:p>
    <w:p>
      <w:pPr>
        <w:spacing w:after="200"/>
      </w:pPr>
      <w:r>
        <w:t xml:space="preserve">Allelio will evolve through clearly defined phases to expand functionality while maintaining privacy-first principles:</w:t>
      </w:r>
    </w:p>
    <w:p>
      <w:pPr>
        <w:spacing w:after="200"/>
      </w:pPr>
    </w:p>
    <w:tbl>
      <w:tblPr>
        <w:tblW w:type="auto" w:w="100"/>
        <w:tblBorders>
          <w:top w:val="single" w:color="1E3A5F" w:sz="6"/>
          <w:left w:val="single" w:color="1E3A5F" w:sz="6"/>
          <w:bottom w:val="single" w:color="1E3A5F" w:sz="6"/>
          <w:right w:val="single" w:color="1E3A5F" w:sz="6"/>
          <w:insideH w:val="single" w:color="CCCCCC" w:sz="6"/>
          <w:insideV w:val="single" w:color="CCCCCC" w:sz="6"/>
        </w:tblBorders>
      </w:tblPr>
      <w:tblGrid>
        <w:gridCol w:w="100"/>
        <w:gridCol w:w="100"/>
        <w:gridCol w:w="100"/>
        <w:gridCol w:w="100"/>
      </w:tblGrid>
      <w:tr>
        <w:trPr>
          <w:trHeight w:val="400" w:hRule="atLeast"/>
        </w:trPr>
        <w:tc>
          <w:tcPr>
            <w:shd w:fill="1E3A5F"/>
            <w:tcMar>
              <w:top w:type="dxa" w:w="100"/>
              <w:left w:type="dxa" w:w="100"/>
              <w:bottom w:type="dxa" w:w="100"/>
              <w:right w:type="dxa" w:w="100"/>
            </w:tcMar>
            <w:vAlign w:val="center"/>
          </w:tcPr>
          <w:p>
            <w:pPr>
              <w:spacing w:line="360"/>
            </w:pPr>
            <w:r>
              <w:t xml:space="preserve">Phase</w:t>
            </w:r>
          </w:p>
        </w:tc>
        <w:tc>
          <w:tcPr>
            <w:shd w:fill="1E3A5F"/>
            <w:tcMar>
              <w:top w:type="dxa" w:w="100"/>
              <w:left w:type="dxa" w:w="100"/>
              <w:bottom w:type="dxa" w:w="100"/>
              <w:right w:type="dxa" w:w="100"/>
            </w:tcMar>
            <w:vAlign w:val="center"/>
          </w:tcPr>
          <w:p>
            <w:pPr>
              <w:spacing w:line="360"/>
            </w:pPr>
            <w:r>
              <w:t xml:space="preserve">Version</w:t>
            </w:r>
          </w:p>
        </w:tc>
        <w:tc>
          <w:tcPr>
            <w:shd w:fill="1E3A5F"/>
            <w:tcMar>
              <w:top w:type="dxa" w:w="100"/>
              <w:left w:type="dxa" w:w="100"/>
              <w:bottom w:type="dxa" w:w="100"/>
              <w:right w:type="dxa" w:w="100"/>
            </w:tcMar>
            <w:vAlign w:val="center"/>
          </w:tcPr>
          <w:p>
            <w:pPr>
              <w:spacing w:line="360"/>
            </w:pPr>
            <w:r>
              <w:t xml:space="preserve">Timeline</w:t>
            </w:r>
          </w:p>
        </w:tc>
        <w:tc>
          <w:tcPr>
            <w:shd w:fill="1E3A5F"/>
            <w:tcMar>
              <w:top w:type="dxa" w:w="100"/>
              <w:left w:type="dxa" w:w="100"/>
              <w:bottom w:type="dxa" w:w="100"/>
              <w:right w:type="dxa" w:w="100"/>
            </w:tcMar>
            <w:vAlign w:val="center"/>
          </w:tcPr>
          <w:p>
            <w:pPr>
              <w:spacing w:line="360"/>
            </w:pPr>
            <w:r>
              <w:t xml:space="preserve">Key Features</w:t>
            </w:r>
          </w:p>
        </w:tc>
      </w:tr>
      <w:tr>
        <w:trPr>
          <w:trHeight w:val="400" w:hRule="atLeast"/>
        </w:trPr>
        <w:tc>
          <w:tcPr>
            <w:shd w:fill="FFFFFF"/>
            <w:tcMar>
              <w:top w:type="dxa" w:w="100"/>
              <w:left w:type="dxa" w:w="100"/>
              <w:bottom w:type="dxa" w:w="100"/>
              <w:right w:type="dxa" w:w="100"/>
            </w:tcMar>
            <w:vAlign w:val="center"/>
          </w:tcPr>
          <w:p>
            <w:pPr>
              <w:spacing w:line="360"/>
            </w:pPr>
            <w:r>
              <w:t xml:space="preserve">Phase 1</w:t>
            </w:r>
          </w:p>
        </w:tc>
        <w:tc>
          <w:tcPr>
            <w:shd w:fill="FFFFFF"/>
            <w:tcMar>
              <w:top w:type="dxa" w:w="100"/>
              <w:left w:type="dxa" w:w="100"/>
              <w:bottom w:type="dxa" w:w="100"/>
              <w:right w:type="dxa" w:w="100"/>
            </w:tcMar>
            <w:vAlign w:val="center"/>
          </w:tcPr>
          <w:p>
            <w:pPr>
              <w:spacing w:line="360"/>
            </w:pPr>
            <w:r>
              <w:t xml:space="preserve">v0.1</w:t>
            </w:r>
          </w:p>
        </w:tc>
        <w:tc>
          <w:tcPr>
            <w:shd w:fill="FFFFFF"/>
            <w:tcMar>
              <w:top w:type="dxa" w:w="100"/>
              <w:left w:type="dxa" w:w="100"/>
              <w:bottom w:type="dxa" w:w="100"/>
              <w:right w:type="dxa" w:w="100"/>
            </w:tcMar>
            <w:vAlign w:val="center"/>
          </w:tcPr>
          <w:p>
            <w:pPr>
              <w:spacing w:line="360"/>
            </w:pPr>
            <w:r>
              <w:t xml:space="preserve">Current</w:t>
            </w:r>
          </w:p>
        </w:tc>
        <w:tc>
          <w:tcPr>
            <w:shd w:fill="FFFFFF"/>
            <w:tcMar>
              <w:top w:type="dxa" w:w="100"/>
              <w:left w:type="dxa" w:w="100"/>
              <w:bottom w:type="dxa" w:w="100"/>
              <w:right w:type="dxa" w:w="100"/>
            </w:tcMar>
            <w:vAlign w:val="center"/>
          </w:tcPr>
          <w:p>
            <w:pPr>
              <w:spacing w:line="360"/>
            </w:pPr>
            <w:r>
              <w:t xml:space="preserve">Core pipeline, parsers, databases, AI explanations, Web UI, CLI</w:t>
            </w:r>
          </w:p>
        </w:tc>
      </w:tr>
      <w:tr>
        <w:trPr>
          <w:trHeight w:val="400" w:hRule="atLeast"/>
        </w:trPr>
        <w:tc>
          <w:tcPr>
            <w:shd w:fill="FFFFFF"/>
            <w:tcMar>
              <w:top w:type="dxa" w:w="100"/>
              <w:left w:type="dxa" w:w="100"/>
              <w:bottom w:type="dxa" w:w="100"/>
              <w:right w:type="dxa" w:w="100"/>
            </w:tcMar>
            <w:vAlign w:val="center"/>
          </w:tcPr>
          <w:p>
            <w:pPr>
              <w:spacing w:line="360"/>
            </w:pPr>
            <w:r>
              <w:t xml:space="preserve">Phase 2</w:t>
            </w:r>
          </w:p>
        </w:tc>
        <w:tc>
          <w:tcPr>
            <w:shd w:fill="FFFFFF"/>
            <w:tcMar>
              <w:top w:type="dxa" w:w="100"/>
              <w:left w:type="dxa" w:w="100"/>
              <w:bottom w:type="dxa" w:w="100"/>
              <w:right w:type="dxa" w:w="100"/>
            </w:tcMar>
            <w:vAlign w:val="center"/>
          </w:tcPr>
          <w:p>
            <w:pPr>
              <w:spacing w:line="360"/>
            </w:pPr>
            <w:r>
              <w:t xml:space="preserve">v0.2</w:t>
            </w:r>
          </w:p>
        </w:tc>
        <w:tc>
          <w:tcPr>
            <w:shd w:fill="FFFFFF"/>
            <w:tcMar>
              <w:top w:type="dxa" w:w="100"/>
              <w:left w:type="dxa" w:w="100"/>
              <w:bottom w:type="dxa" w:w="100"/>
              <w:right w:type="dxa" w:w="100"/>
            </w:tcMar>
            <w:vAlign w:val="center"/>
          </w:tcPr>
          <w:p>
            <w:pPr>
              <w:spacing w:line="360"/>
            </w:pPr>
            <w:r>
              <w:t xml:space="preserve">Q2-Q3 2025</w:t>
            </w:r>
          </w:p>
        </w:tc>
        <w:tc>
          <w:tcPr>
            <w:shd w:fill="FFFFFF"/>
            <w:tcMar>
              <w:top w:type="dxa" w:w="100"/>
              <w:left w:type="dxa" w:w="100"/>
              <w:bottom w:type="dxa" w:w="100"/>
              <w:right w:type="dxa" w:w="100"/>
            </w:tcMar>
            <w:vAlign w:val="center"/>
          </w:tcPr>
          <w:p>
            <w:pPr>
              <w:spacing w:line="360"/>
            </w:pPr>
            <w:r>
              <w:t xml:space="preserve">Desktop packaging (Tauri/Electron), polygenic risk scores, drug interactions</w:t>
            </w:r>
          </w:p>
        </w:tc>
      </w:tr>
      <w:tr>
        <w:trPr>
          <w:trHeight w:val="400" w:hRule="atLeast"/>
        </w:trPr>
        <w:tc>
          <w:tcPr>
            <w:shd w:fill="FFFFFF"/>
            <w:tcMar>
              <w:top w:type="dxa" w:w="100"/>
              <w:left w:type="dxa" w:w="100"/>
              <w:bottom w:type="dxa" w:w="100"/>
              <w:right w:type="dxa" w:w="100"/>
            </w:tcMar>
            <w:vAlign w:val="center"/>
          </w:tcPr>
          <w:p>
            <w:pPr>
              <w:spacing w:line="360"/>
            </w:pPr>
            <w:r>
              <w:t xml:space="preserve">Phase 3</w:t>
            </w:r>
          </w:p>
        </w:tc>
        <w:tc>
          <w:tcPr>
            <w:shd w:fill="FFFFFF"/>
            <w:tcMar>
              <w:top w:type="dxa" w:w="100"/>
              <w:left w:type="dxa" w:w="100"/>
              <w:bottom w:type="dxa" w:w="100"/>
              <w:right w:type="dxa" w:w="100"/>
            </w:tcMar>
            <w:vAlign w:val="center"/>
          </w:tcPr>
          <w:p>
            <w:pPr>
              <w:spacing w:line="360"/>
            </w:pPr>
            <w:r>
              <w:t xml:space="preserve">v0.3</w:t>
            </w:r>
          </w:p>
        </w:tc>
        <w:tc>
          <w:tcPr>
            <w:shd w:fill="FFFFFF"/>
            <w:tcMar>
              <w:top w:type="dxa" w:w="100"/>
              <w:left w:type="dxa" w:w="100"/>
              <w:bottom w:type="dxa" w:w="100"/>
              <w:right w:type="dxa" w:w="100"/>
            </w:tcMar>
            <w:vAlign w:val="center"/>
          </w:tcPr>
          <w:p>
            <w:pPr>
              <w:spacing w:line="360"/>
            </w:pPr>
            <w:r>
              <w:t xml:space="preserve">Q4 2025</w:t>
            </w:r>
          </w:p>
        </w:tc>
        <w:tc>
          <w:tcPr>
            <w:shd w:fill="FFFFFF"/>
            <w:tcMar>
              <w:top w:type="dxa" w:w="100"/>
              <w:left w:type="dxa" w:w="100"/>
              <w:bottom w:type="dxa" w:w="100"/>
              <w:right w:type="dxa" w:w="100"/>
            </w:tcMar>
            <w:vAlign w:val="center"/>
          </w:tcPr>
          <w:p>
            <w:pPr>
              <w:spacing w:line="360"/>
            </w:pPr>
            <w:r>
              <w:t xml:space="preserve">Multi-language support, ancestry composition, family sharing</w:t>
            </w:r>
          </w:p>
        </w:tc>
      </w:tr>
      <w:tr>
        <w:trPr>
          <w:trHeight w:val="400" w:hRule="atLeast"/>
        </w:trPr>
        <w:tc>
          <w:tcPr>
            <w:shd w:fill="FFFFFF"/>
            <w:tcMar>
              <w:top w:type="dxa" w:w="100"/>
              <w:left w:type="dxa" w:w="100"/>
              <w:bottom w:type="dxa" w:w="100"/>
              <w:right w:type="dxa" w:w="100"/>
            </w:tcMar>
            <w:vAlign w:val="center"/>
          </w:tcPr>
          <w:p>
            <w:pPr>
              <w:spacing w:line="360"/>
            </w:pPr>
            <w:r>
              <w:t xml:space="preserve">Phase 4</w:t>
            </w:r>
          </w:p>
        </w:tc>
        <w:tc>
          <w:tcPr>
            <w:shd w:fill="FFFFFF"/>
            <w:tcMar>
              <w:top w:type="dxa" w:w="100"/>
              <w:left w:type="dxa" w:w="100"/>
              <w:bottom w:type="dxa" w:w="100"/>
              <w:right w:type="dxa" w:w="100"/>
            </w:tcMar>
            <w:vAlign w:val="center"/>
          </w:tcPr>
          <w:p>
            <w:pPr>
              <w:spacing w:line="360"/>
            </w:pPr>
            <w:r>
              <w:t xml:space="preserve">v1.0</w:t>
            </w:r>
          </w:p>
        </w:tc>
        <w:tc>
          <w:tcPr>
            <w:shd w:fill="FFFFFF"/>
            <w:tcMar>
              <w:top w:type="dxa" w:w="100"/>
              <w:left w:type="dxa" w:w="100"/>
              <w:bottom w:type="dxa" w:w="100"/>
              <w:right w:type="dxa" w:w="100"/>
            </w:tcMar>
            <w:vAlign w:val="center"/>
          </w:tcPr>
          <w:p>
            <w:pPr>
              <w:spacing w:line="360"/>
            </w:pPr>
            <w:r>
              <w:t xml:space="preserve">2026</w:t>
            </w:r>
          </w:p>
        </w:tc>
        <w:tc>
          <w:tcPr>
            <w:shd w:fill="FFFFFF"/>
            <w:tcMar>
              <w:top w:type="dxa" w:w="100"/>
              <w:left w:type="dxa" w:w="100"/>
              <w:bottom w:type="dxa" w:w="100"/>
              <w:right w:type="dxa" w:w="100"/>
            </w:tcMar>
            <w:vAlign w:val="center"/>
          </w:tcPr>
          <w:p>
            <w:pPr>
              <w:spacing w:line="360"/>
            </w:pPr>
            <w:r>
              <w:t xml:space="preserve">Community database, plugin system, enterprise features</w:t>
            </w:r>
          </w:p>
        </w:tc>
      </w:tr>
    </w:tbl>
    <w:p>
      <w:pPr>
        <w:spacing w:after="300"/>
      </w:pPr>
    </w:p>
    <w:p>
      <w:pPr>
        <w:pStyle w:val="Heading1"/>
        <w:pStyle w:val="Heading1"/>
        <w:spacing w:before="400" w:after="200"/>
      </w:pPr>
      <w:r>
        <w:t xml:space="preserve">8. Success Metrics</w:t>
      </w:r>
    </w:p>
    <w:p>
      <w:pPr>
        <w:pStyle w:val="Heading2"/>
        <w:pStyle w:val="Heading2"/>
        <w:spacing w:before="200" w:after="200"/>
      </w:pPr>
      <w:r>
        <w:t xml:space="preserve">8.1 Community Adoption</w:t>
      </w:r>
    </w:p>
    <w:p>
      <w:pPr>
        <w:pStyle w:val="ListParagraph"/>
        <w:pStyle w:val="List Paragraph"/>
        <w:numPr>
          <w:ilvl w:val="0"/>
          <w:numId w:val="1"/>
        </w:numPr>
        <w:spacing w:line="360" w:after="120" w:before="0"/>
        <w:ind w:left="360" w:right="0" w:hanging="360"/>
      </w:pPr>
      <w:r>
        <w:t xml:space="preserve">GitHub repository reaches 500+ stars within first year</w:t>
      </w:r>
    </w:p>
    <w:p>
      <w:pPr>
        <w:pStyle w:val="ListParagraph"/>
        <w:pStyle w:val="List Paragraph"/>
        <w:numPr>
          <w:ilvl w:val="0"/>
          <w:numId w:val="1"/>
        </w:numPr>
        <w:spacing w:line="360" w:after="120" w:before="0"/>
        <w:ind w:left="360" w:right="0" w:hanging="360"/>
      </w:pPr>
      <w:r>
        <w:t xml:space="preserve">50+ forks indicating community trust and contribution</w:t>
      </w:r>
    </w:p>
    <w:p>
      <w:pPr>
        <w:pStyle w:val="ListParagraph"/>
        <w:pStyle w:val="List Paragraph"/>
        <w:numPr>
          <w:ilvl w:val="0"/>
          <w:numId w:val="1"/>
        </w:numPr>
        <w:spacing w:line="360" w:after="120" w:before="0"/>
        <w:ind w:left="360" w:right="0" w:hanging="360"/>
      </w:pPr>
      <w:r>
        <w:t xml:space="preserve">Active contributor base with regular pull requests and community support</w:t>
      </w:r>
    </w:p>
    <w:p>
      <w:pPr>
        <w:spacing w:after="200"/>
      </w:pPr>
    </w:p>
    <w:p>
      <w:pPr>
        <w:pStyle w:val="Heading2"/>
        <w:pStyle w:val="Heading2"/>
        <w:spacing w:before="200" w:after="200"/>
      </w:pPr>
      <w:r>
        <w:t xml:space="preserve">8.2 User Experience</w:t>
      </w:r>
    </w:p>
    <w:p>
      <w:pPr>
        <w:pStyle w:val="ListParagraph"/>
        <w:pStyle w:val="List Paragraph"/>
        <w:numPr>
          <w:ilvl w:val="0"/>
          <w:numId w:val="1"/>
        </w:numPr>
        <w:spacing w:line="360" w:after="120" w:before="0"/>
        <w:ind w:left="360" w:right="0" w:hanging="360"/>
      </w:pPr>
      <w:r>
        <w:t xml:space="preserve">User feedback consistently rates tool as "easy to use" (4.5+/5 stars)</w:t>
      </w:r>
    </w:p>
    <w:p>
      <w:pPr>
        <w:pStyle w:val="ListParagraph"/>
        <w:pStyle w:val="List Paragraph"/>
        <w:numPr>
          <w:ilvl w:val="0"/>
          <w:numId w:val="1"/>
        </w:numPr>
        <w:spacing w:line="360" w:after="120" w:before="0"/>
        <w:ind w:left="360" w:right="0" w:hanging="360"/>
      </w:pPr>
      <w:r>
        <w:t xml:space="preserve">First-time user onboarding completed within 5 minutes</w:t>
      </w:r>
    </w:p>
    <w:p>
      <w:pPr>
        <w:pStyle w:val="ListParagraph"/>
        <w:pStyle w:val="List Paragraph"/>
        <w:numPr>
          <w:ilvl w:val="0"/>
          <w:numId w:val="1"/>
        </w:numPr>
        <w:spacing w:line="360" w:after="120" w:before="0"/>
        <w:ind w:left="360" w:right="0" w:hanging="360"/>
      </w:pPr>
      <w:r>
        <w:t xml:space="preserve">Analysis of typical genotype file completes in under 10 seconds</w:t>
      </w:r>
    </w:p>
    <w:p>
      <w:pPr>
        <w:spacing w:after="200"/>
      </w:pPr>
    </w:p>
    <w:p>
      <w:pPr>
        <w:pStyle w:val="Heading2"/>
        <w:pStyle w:val="Heading2"/>
        <w:spacing w:before="200" w:after="200"/>
      </w:pPr>
      <w:r>
        <w:t xml:space="preserve">8.3 Accuracy &amp; Quality</w:t>
      </w:r>
    </w:p>
    <w:p>
      <w:pPr>
        <w:pStyle w:val="ListParagraph"/>
        <w:pStyle w:val="List Paragraph"/>
        <w:numPr>
          <w:ilvl w:val="0"/>
          <w:numId w:val="1"/>
        </w:numPr>
        <w:spacing w:line="360" w:after="120" w:before="0"/>
        <w:ind w:left="360" w:right="0" w:hanging="360"/>
      </w:pPr>
      <w:r>
        <w:t xml:space="preserve">Variant interpretations validated against professional genetic counseling resources</w:t>
      </w:r>
    </w:p>
    <w:p>
      <w:pPr>
        <w:pStyle w:val="ListParagraph"/>
        <w:pStyle w:val="List Paragraph"/>
        <w:numPr>
          <w:ilvl w:val="0"/>
          <w:numId w:val="1"/>
        </w:numPr>
        <w:spacing w:line="360" w:after="120" w:before="0"/>
        <w:ind w:left="360" w:right="0" w:hanging="360"/>
      </w:pPr>
      <w:r>
        <w:t xml:space="preserve">Coverage of 95%+ of known clinically significant variants in target population</w:t>
      </w:r>
    </w:p>
    <w:p>
      <w:pPr>
        <w:pStyle w:val="ListParagraph"/>
        <w:pStyle w:val="List Paragraph"/>
        <w:numPr>
          <w:ilvl w:val="0"/>
          <w:numId w:val="1"/>
        </w:numPr>
        <w:spacing w:line="360" w:after="120" w:before="0"/>
        <w:ind w:left="360" w:right="0" w:hanging="360"/>
      </w:pPr>
      <w:r>
        <w:t xml:space="preserve">Zero reported false positives in high-impact variant categorization (BRCA, APOE, etc.)</w:t>
      </w:r>
    </w:p>
    <w:p>
      <w:pPr>
        <w:spacing w:after="200"/>
      </w:pPr>
    </w:p>
    <w:p>
      <w:pPr>
        <w:pStyle w:val="Heading2"/>
        <w:pStyle w:val="Heading2"/>
        <w:spacing w:before="200" w:after="200"/>
      </w:pPr>
      <w:r>
        <w:t xml:space="preserve">8.4 Privacy &amp; Trust</w:t>
      </w:r>
    </w:p>
    <w:p>
      <w:pPr>
        <w:pStyle w:val="ListParagraph"/>
        <w:pStyle w:val="List Paragraph"/>
        <w:numPr>
          <w:ilvl w:val="0"/>
          <w:numId w:val="1"/>
        </w:numPr>
        <w:spacing w:line="360" w:after="120" w:before="0"/>
        <w:ind w:left="360" w:right="0" w:hanging="360"/>
      </w:pPr>
      <w:r>
        <w:t xml:space="preserve">Zero data breach incidents or privacy violations</w:t>
      </w:r>
    </w:p>
    <w:p>
      <w:pPr>
        <w:pStyle w:val="ListParagraph"/>
        <w:pStyle w:val="List Paragraph"/>
        <w:numPr>
          <w:ilvl w:val="0"/>
          <w:numId w:val="1"/>
        </w:numPr>
        <w:spacing w:line="360" w:after="120" w:before="0"/>
        <w:ind w:left="360" w:right="0" w:hanging="360"/>
      </w:pPr>
      <w:r>
        <w:t xml:space="preserve">Transparent privacy policy and clear documentation of all data handling</w:t>
      </w:r>
    </w:p>
    <w:p>
      <w:pPr>
        <w:pStyle w:val="ListParagraph"/>
        <w:pStyle w:val="List Paragraph"/>
        <w:numPr>
          <w:ilvl w:val="0"/>
          <w:numId w:val="1"/>
        </w:numPr>
        <w:spacing w:line="360" w:after="120" w:before="0"/>
        <w:ind w:left="360" w:right="0" w:hanging="360"/>
      </w:pPr>
      <w:r>
        <w:t xml:space="preserve">Community confidence in privacy claims validated through independent code audits</w:t>
      </w:r>
    </w:p>
    <w:p>
      <w:pPr>
        <w:spacing w:after="400"/>
      </w:pPr>
    </w:p>
    <w:p>
      <w:pPr>
        <w:spacing w:after="300"/>
      </w:pPr>
    </w:p>
    <w:p>
      <w:pPr>
        <w:spacing w:after="200"/>
      </w:pPr>
      <w:r>
        <w:t xml:space="preserve">Allelio represents a paradigm shift in democratizing genomics analysis. By combining user privacy, open-source transparency, and AI-powered accessibility, the project empowers individuals to understand their own genetics without compromising data security.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2026-02-16T10:39:19.169Z</dcterms:created>
  <dcterms:modified xsi:type="dcterms:W3CDTF">2026-02-16T10:39:19.169Z</dcterms:modified>
</cp:coreProperties>
</file>

<file path=docProps/custom.xml><?xml version="1.0" encoding="utf-8"?>
<Properties xmlns="http://schemas.openxmlformats.org/officeDocument/2006/custom-properties" xmlns:vt="http://schemas.openxmlformats.org/officeDocument/2006/docPropsVTypes"/>
</file>