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shd w:val="clear" w:color="auto" w:fill="D4E1F5"/>
      </w:pPr>
      <w:r>
        <w:rPr>
          <w:b/>
          <w:color w:val="1F497D"/>
          <w:sz w:val="28"/>
        </w:rPr>
        <w:t>Theme 1: Credit Quality &amp; Risk Outlook: Portfolio health and provisioning trends</w:t>
      </w:r>
    </w:p>
    <w:p>
      <w:pPr>
        <w:spacing w:before="120" w:after="80"/>
      </w:pPr>
      <w:r>
        <w:rPr>
          <w:color w:val="000000"/>
          <w:sz w:val="22"/>
          <w:u w:val="single"/>
        </w:rPr>
        <w:t>Conversation 1:</w:t>
      </w:r>
    </w:p>
    <w:p>
      <w:pPr>
        <w:spacing w:after="60" w:line="276" w:lineRule="auto"/>
        <w:ind w:left="432"/>
      </w:pPr>
      <w:r>
        <w:rPr>
          <w:b/>
          <w:sz w:val="18"/>
        </w:rPr>
        <w:t>Analyst from Scotiabank - Meny Grauman</w:t>
      </w:r>
      <w:r>
        <w:rPr>
          <w:sz w:val="18"/>
        </w:rPr>
        <w:t xml:space="preserve">: </w:t>
      </w:r>
      <w:r>
        <w:rPr>
          <w:b/>
          <w:color w:val="1E4D8B"/>
          <w:sz w:val="22"/>
        </w:rPr>
        <w:t xml:space="preserve">Dave, you talked about the provision for credit losses normalizing. I'm wondering if you could provide more color on what you're seeing in terms of credit quality trends across your different businesses, particularly in </w:t>
      </w:r>
      <w:r>
        <w:rPr>
          <w:b/>
          <w:i/>
          <w:color w:val="1E4D8B"/>
          <w:sz w:val="22"/>
        </w:rPr>
        <w:t>Canadian Banking</w:t>
      </w:r>
      <w:r>
        <w:rPr>
          <w:b/>
          <w:color w:val="1E4D8B"/>
          <w:sz w:val="22"/>
        </w:rPr>
        <w:t xml:space="preserve"> and </w:t>
      </w:r>
      <w:r>
        <w:rPr>
          <w:b/>
          <w:i/>
          <w:color w:val="1E4D8B"/>
          <w:sz w:val="22"/>
        </w:rPr>
        <w:t>Capital Markets</w:t>
      </w:r>
      <w:r>
        <w:rPr>
          <w:b/>
          <w:color w:val="1E4D8B"/>
          <w:sz w:val="22"/>
        </w:rPr>
        <w:t>?</w:t>
      </w:r>
    </w:p>
    <w:p>
      <w:pPr>
        <w:spacing w:after="60" w:line="276" w:lineRule="auto"/>
        <w:ind w:left="432"/>
      </w:pPr>
      <w:r>
        <w:rPr>
          <w:b/>
          <w:sz w:val="18"/>
        </w:rPr>
        <w:t>Dave McKay</w:t>
      </w:r>
      <w:r>
        <w:rPr>
          <w:sz w:val="18"/>
        </w:rPr>
        <w:t xml:space="preserve"> (President &amp; CEO): </w:t>
      </w:r>
      <w:r>
        <w:rPr>
          <w:b/>
          <w:color w:val="4D94FF"/>
          <w:sz w:val="22"/>
        </w:rPr>
        <w:t>Overall, we're seeing credit quality remain strong across our portfolios.</w:t>
      </w:r>
      <w:r>
        <w:rPr>
          <w:sz w:val="18"/>
        </w:rPr>
        <w:t xml:space="preserve"> In </w:t>
      </w:r>
      <w:r>
        <w:rPr>
          <w:i/>
          <w:sz w:val="18"/>
        </w:rPr>
        <w:t>Canadian Banking</w:t>
      </w:r>
      <w:r>
        <w:rPr>
          <w:sz w:val="18"/>
        </w:rPr>
        <w:t xml:space="preserve">, our </w:t>
      </w:r>
      <w:r>
        <w:rPr>
          <w:b/>
          <w:sz w:val="18"/>
        </w:rPr>
        <w:t>PCL ratio</w:t>
      </w:r>
      <w:r>
        <w:rPr>
          <w:sz w:val="18"/>
        </w:rPr>
        <w:t xml:space="preserve"> came in at </w:t>
      </w:r>
      <w:r>
        <w:rPr>
          <w:b/>
          <w:sz w:val="18"/>
        </w:rPr>
        <w:t>23 basis points</w:t>
      </w:r>
      <w:r>
        <w:rPr>
          <w:sz w:val="18"/>
        </w:rPr>
        <w:t xml:space="preserve"> this quarter, which is well within our through-the-cycle range of </w:t>
      </w:r>
      <w:r>
        <w:rPr>
          <w:b/>
          <w:sz w:val="18"/>
        </w:rPr>
        <w:t>25 to 30 basis points</w:t>
      </w:r>
      <w:r>
        <w:rPr>
          <w:sz w:val="18"/>
        </w:rPr>
        <w:t xml:space="preserve">. We're not seeing any meaningful deterioration in our retail portfolios. Mortgage delinquencies remain near historic lows at </w:t>
      </w:r>
      <w:r>
        <w:rPr>
          <w:b/>
          <w:sz w:val="18"/>
        </w:rPr>
        <w:t>0.15%</w:t>
      </w:r>
      <w:r>
        <w:rPr>
          <w:sz w:val="18"/>
        </w:rPr>
        <w:t>, and our auto portfolio continues to perform well despite some normalization from the very low levels we saw during the pandemic.</w:t>
      </w:r>
    </w:p>
    <w:p>
      <w:pPr>
        <w:spacing w:after="60" w:line="276" w:lineRule="auto"/>
        <w:ind w:left="432"/>
      </w:pPr>
      <w:r>
        <w:rPr>
          <w:sz w:val="18"/>
        </w:rPr>
        <w:t xml:space="preserve">On the commercial side, we did see a modest uptick in provisions, primarily driven by a couple of specific credits in the real estate sector. </w:t>
      </w:r>
      <w:r>
        <w:rPr>
          <w:sz w:val="18"/>
          <w:highlight w:val="yellow"/>
        </w:rPr>
        <w:t>But these are idiosyncratic situations, not indicative of broader portfolio trends.</w:t>
      </w:r>
      <w:r>
        <w:rPr>
          <w:sz w:val="18"/>
        </w:rPr>
        <w:t xml:space="preserve"> We've been proactively managing our CRE exposure and feel very comfortable with where we are.</w:t>
      </w:r>
    </w:p>
    <w:p>
      <w:pPr>
        <w:spacing w:after="60" w:line="276" w:lineRule="auto"/>
        <w:ind w:left="432"/>
      </w:pPr>
      <w:r>
        <w:rPr>
          <w:sz w:val="18"/>
        </w:rPr>
        <w:t xml:space="preserve">In </w:t>
      </w:r>
      <w:r>
        <w:rPr>
          <w:i/>
          <w:sz w:val="18"/>
        </w:rPr>
        <w:t>Capital Markets</w:t>
      </w:r>
      <w:r>
        <w:rPr>
          <w:sz w:val="18"/>
        </w:rPr>
        <w:t xml:space="preserve">, we had some specific provisions this quarter related to a few distressed credits, but again, nothing that concerns us from a portfolio quality perspective. Overall, our performing </w:t>
      </w:r>
      <w:r>
        <w:rPr>
          <w:b/>
          <w:sz w:val="18"/>
        </w:rPr>
        <w:t>ACL coverage</w:t>
      </w:r>
      <w:r>
        <w:rPr>
          <w:sz w:val="18"/>
        </w:rPr>
        <w:t xml:space="preserve"> sits at a healthy </w:t>
      </w:r>
      <w:r>
        <w:rPr>
          <w:b/>
          <w:sz w:val="18"/>
        </w:rPr>
        <w:t>47 basis points</w:t>
      </w:r>
      <w:r>
        <w:rPr>
          <w:sz w:val="18"/>
        </w:rPr>
        <w:t>, giving us good cushion for any potential headwinds.</w:t>
      </w:r>
    </w:p>
    <w:p>
      <w:pPr>
        <w:spacing w:before="240" w:after="240"/>
      </w:pPr>
    </w:p>
    <w:p>
      <w:pPr>
        <w:keepNext/>
        <w:spacing w:before="240" w:after="160"/>
        <w:shd w:val="clear" w:color="auto" w:fill="D4E1F5"/>
      </w:pPr>
      <w:r>
        <w:rPr>
          <w:b/>
          <w:color w:val="1F497D"/>
          <w:sz w:val="28"/>
        </w:rPr>
        <w:t>Theme 2: Revenue Trends &amp; Net Interest Income: NII outlook and margin management</w:t>
      </w:r>
    </w:p>
    <w:p>
      <w:pPr>
        <w:spacing w:before="120" w:after="80"/>
      </w:pPr>
      <w:r>
        <w:rPr>
          <w:color w:val="000000"/>
          <w:sz w:val="22"/>
          <w:u w:val="single"/>
        </w:rPr>
        <w:t>Conversation 1:</w:t>
      </w:r>
    </w:p>
    <w:p>
      <w:pPr>
        <w:spacing w:after="60" w:line="276" w:lineRule="auto"/>
        <w:ind w:left="432"/>
      </w:pPr>
      <w:r>
        <w:rPr>
          <w:b/>
          <w:sz w:val="18"/>
        </w:rPr>
        <w:t>Analyst from BMO Capital Markets - Sohrab Movahedi</w:t>
      </w:r>
      <w:r>
        <w:rPr>
          <w:sz w:val="18"/>
        </w:rPr>
        <w:t xml:space="preserve">: </w:t>
      </w:r>
      <w:r>
        <w:rPr>
          <w:b/>
          <w:color w:val="1E4D8B"/>
          <w:sz w:val="22"/>
        </w:rPr>
        <w:t>Graeme, can you walk us through the NII outlook for the rest of the year?</w:t>
      </w:r>
      <w:r>
        <w:rPr>
          <w:sz w:val="18"/>
        </w:rPr>
        <w:t xml:space="preserve"> Specifically, how should we think about the impact of potential rate cuts and what levers you have to manage NIM compression?</w:t>
      </w:r>
    </w:p>
    <w:p>
      <w:pPr>
        <w:spacing w:after="60" w:line="276" w:lineRule="auto"/>
        <w:ind w:left="432"/>
      </w:pPr>
      <w:r>
        <w:rPr>
          <w:b/>
          <w:sz w:val="18"/>
        </w:rPr>
        <w:t>Graeme Hepworth</w:t>
      </w:r>
      <w:r>
        <w:rPr>
          <w:sz w:val="18"/>
        </w:rPr>
        <w:t xml:space="preserve"> (CFO): </w:t>
      </w:r>
      <w:r>
        <w:rPr>
          <w:b/>
          <w:color w:val="4D94FF"/>
          <w:sz w:val="22"/>
        </w:rPr>
        <w:t xml:space="preserve">As we look at NII for the balance of the year, we're expecting relatively stable performance in </w:t>
      </w:r>
      <w:r>
        <w:rPr>
          <w:b/>
          <w:i/>
          <w:color w:val="4D94FF"/>
          <w:sz w:val="22"/>
        </w:rPr>
        <w:t>Canadian Banking</w:t>
      </w:r>
      <w:r>
        <w:rPr>
          <w:b/>
          <w:color w:val="4D94FF"/>
          <w:sz w:val="22"/>
        </w:rPr>
        <w:t>.</w:t>
      </w:r>
      <w:r>
        <w:rPr>
          <w:sz w:val="18"/>
        </w:rPr>
        <w:t xml:space="preserve"> While we may see some modest NIM compression from potential rate cuts, we have several levers to help offset that impact.</w:t>
      </w:r>
    </w:p>
    <w:p>
      <w:pPr>
        <w:spacing w:after="60" w:line="276" w:lineRule="auto"/>
        <w:ind w:left="432"/>
      </w:pPr>
      <w:r>
        <w:rPr>
          <w:sz w:val="18"/>
        </w:rPr>
        <w:t xml:space="preserve">First, we continue to see good momentum in loan growth, particularly in mortgages where we're gaining share. We grew our mortgage book by </w:t>
      </w:r>
      <w:r>
        <w:rPr>
          <w:b/>
          <w:sz w:val="18"/>
        </w:rPr>
        <w:t>6%</w:t>
      </w:r>
      <w:r>
        <w:rPr>
          <w:sz w:val="18"/>
        </w:rPr>
        <w:t xml:space="preserve"> year-over-year, and we expect that to continue as the spring housing market picks up. Second, on the deposit side, we've been actively managing our pricing and have seen good retention of our non-interest bearing deposit balances, which now represent about </w:t>
      </w:r>
      <w:r>
        <w:rPr>
          <w:b/>
          <w:sz w:val="18"/>
        </w:rPr>
        <w:t>28%</w:t>
      </w:r>
      <w:r>
        <w:rPr>
          <w:sz w:val="18"/>
        </w:rPr>
        <w:t xml:space="preserve"> of total deposits.</w:t>
      </w:r>
    </w:p>
    <w:p>
      <w:pPr>
        <w:spacing w:after="60" w:line="276" w:lineRule="auto"/>
        <w:ind w:left="432"/>
      </w:pPr>
      <w:r>
        <w:rPr>
          <w:sz w:val="18"/>
        </w:rPr>
        <w:t xml:space="preserve">Third, we're benefiting from the repricing of our fixed-rate mortgage portfolio. About </w:t>
      </w:r>
      <w:r>
        <w:rPr>
          <w:b/>
          <w:sz w:val="18"/>
        </w:rPr>
        <w:t>30%</w:t>
      </w:r>
      <w:r>
        <w:rPr>
          <w:sz w:val="18"/>
        </w:rPr>
        <w:t xml:space="preserve"> of our mortgage book repriced this quarter at higher rates, adding roughly </w:t>
      </w:r>
      <w:r>
        <w:rPr>
          <w:b/>
          <w:sz w:val="18"/>
        </w:rPr>
        <w:t>15 basis points</w:t>
      </w:r>
      <w:r>
        <w:rPr>
          <w:sz w:val="18"/>
        </w:rPr>
        <w:t xml:space="preserve"> to our </w:t>
      </w:r>
      <w:r>
        <w:rPr>
          <w:i/>
          <w:sz w:val="18"/>
        </w:rPr>
        <w:t>Canadian Banking</w:t>
      </w:r>
      <w:r>
        <w:rPr>
          <w:sz w:val="18"/>
        </w:rPr>
        <w:t xml:space="preserve"> NIM. </w:t>
      </w:r>
      <w:r>
        <w:rPr>
          <w:sz w:val="18"/>
          <w:highlight w:val="yellow"/>
        </w:rPr>
        <w:t>That tailwind will continue for the next couple of quarters.</w:t>
      </w:r>
    </w:p>
    <w:p>
      <w:pPr>
        <w:spacing w:after="60" w:line="276" w:lineRule="auto"/>
        <w:ind w:left="432"/>
      </w:pPr>
      <w:r>
        <w:rPr>
          <w:sz w:val="18"/>
        </w:rPr>
        <w:t xml:space="preserve">In </w:t>
      </w:r>
      <w:r>
        <w:rPr>
          <w:i/>
          <w:sz w:val="18"/>
        </w:rPr>
        <w:t>Capital Markets</w:t>
      </w:r>
      <w:r>
        <w:rPr>
          <w:sz w:val="18"/>
        </w:rPr>
        <w:t xml:space="preserve">, we expect NII to remain healthy supported by strong trading revenues and continued growth in our financing businesses. </w:t>
      </w:r>
      <w:r>
        <w:rPr>
          <w:b/>
          <w:color w:val="4D94FF"/>
          <w:sz w:val="22"/>
        </w:rPr>
        <w:t xml:space="preserve">All in, we're comfortable with our ability to deliver positive operating leverage this year even if we see </w:t>
      </w:r>
      <w:r>
        <w:rPr>
          <w:b/>
          <w:color w:val="4D94FF"/>
          <w:sz w:val="22"/>
        </w:rPr>
        <w:t>25</w:t>
      </w:r>
      <w:r>
        <w:rPr>
          <w:b/>
          <w:color w:val="4D94FF"/>
          <w:sz w:val="22"/>
        </w:rPr>
        <w:t xml:space="preserve"> to </w:t>
      </w:r>
      <w:r>
        <w:rPr>
          <w:b/>
          <w:color w:val="4D94FF"/>
          <w:sz w:val="22"/>
        </w:rPr>
        <w:t>50 basis points</w:t>
      </w:r>
      <w:r>
        <w:rPr>
          <w:b/>
          <w:color w:val="4D94FF"/>
          <w:sz w:val="22"/>
        </w:rPr>
        <w:t xml:space="preserve"> of rate cuts.</w:t>
      </w:r>
    </w:p>
    <w:p>
      <w:pPr>
        <w:spacing w:before="240" w:after="240"/>
      </w:pPr>
    </w:p>
    <w:p>
      <w:pPr>
        <w:keepNext/>
        <w:spacing w:before="240" w:after="160"/>
        <w:shd w:val="clear" w:color="auto" w:fill="D4E1F5"/>
      </w:pPr>
      <w:r>
        <w:rPr>
          <w:b/>
          <w:color w:val="1F497D"/>
          <w:sz w:val="28"/>
        </w:rPr>
        <w:t>Theme 3: Business Segment Performance &amp; Strategy: Wealth management growth and digital platforms</w:t>
      </w:r>
    </w:p>
    <w:p>
      <w:pPr>
        <w:spacing w:before="120" w:after="80"/>
      </w:pPr>
      <w:r>
        <w:rPr>
          <w:color w:val="000000"/>
          <w:sz w:val="22"/>
          <w:u w:val="single"/>
        </w:rPr>
        <w:t>Conversation 1:</w:t>
      </w:r>
    </w:p>
    <w:p>
      <w:pPr>
        <w:spacing w:after="60" w:line="276" w:lineRule="auto"/>
        <w:ind w:left="432"/>
      </w:pPr>
      <w:r>
        <w:rPr>
          <w:b/>
          <w:sz w:val="18"/>
        </w:rPr>
        <w:t>Analyst from RBC Capital Markets - Darko Mihelic</w:t>
      </w:r>
      <w:r>
        <w:rPr>
          <w:sz w:val="18"/>
        </w:rPr>
        <w:t xml:space="preserve">: </w:t>
      </w:r>
      <w:r>
        <w:rPr>
          <w:b/>
          <w:color w:val="1E4D8B"/>
          <w:sz w:val="22"/>
        </w:rPr>
        <w:t>Neil, you mentioned strong wealth management results. Can you provide more detail on the drivers of AUM and AUA growth, and how you're thinking about the competitive landscape in wealth, particularly with some of the robo-advisor offerings gaining traction?</w:t>
      </w:r>
    </w:p>
    <w:p>
      <w:pPr>
        <w:spacing w:after="60" w:line="276" w:lineRule="auto"/>
        <w:ind w:left="432"/>
      </w:pPr>
      <w:r>
        <w:rPr>
          <w:b/>
          <w:sz w:val="18"/>
        </w:rPr>
        <w:t>Neil McLaughlin</w:t>
      </w:r>
      <w:r>
        <w:rPr>
          <w:sz w:val="18"/>
        </w:rPr>
        <w:t xml:space="preserve"> (Group Head </w:t>
      </w:r>
      <w:r>
        <w:rPr>
          <w:i/>
          <w:sz w:val="18"/>
        </w:rPr>
        <w:t>Personal &amp; Commercial Banking</w:t>
      </w:r>
      <w:r>
        <w:rPr>
          <w:sz w:val="18"/>
        </w:rPr>
        <w:t xml:space="preserve">): </w:t>
      </w:r>
      <w:r>
        <w:rPr>
          <w:b/>
          <w:color w:val="4D94FF"/>
          <w:sz w:val="22"/>
        </w:rPr>
        <w:t xml:space="preserve">We had an exceptional quarter in wealth management with total client assets reaching </w:t>
      </w:r>
      <w:r>
        <w:rPr>
          <w:b/>
          <w:color w:val="4D94FF"/>
          <w:sz w:val="22"/>
        </w:rPr>
        <w:t>$1.8 trillion</w:t>
      </w:r>
      <w:r>
        <w:rPr>
          <w:b/>
          <w:color w:val="4D94FF"/>
          <w:sz w:val="22"/>
        </w:rPr>
        <w:t xml:space="preserve">, up </w:t>
      </w:r>
      <w:r>
        <w:rPr>
          <w:b/>
          <w:color w:val="4D94FF"/>
          <w:sz w:val="22"/>
        </w:rPr>
        <w:t>12%</w:t>
      </w:r>
      <w:r>
        <w:rPr>
          <w:b/>
          <w:color w:val="4D94FF"/>
          <w:sz w:val="22"/>
        </w:rPr>
        <w:t xml:space="preserve"> year-over-year.</w:t>
      </w:r>
      <w:r>
        <w:rPr>
          <w:sz w:val="18"/>
        </w:rPr>
        <w:t xml:space="preserve"> That growth was driven by both strong net sales of </w:t>
      </w:r>
      <w:r>
        <w:rPr>
          <w:b/>
          <w:sz w:val="18"/>
        </w:rPr>
        <w:t>$5.2 billion</w:t>
      </w:r>
      <w:r>
        <w:rPr>
          <w:sz w:val="18"/>
        </w:rPr>
        <w:t xml:space="preserve"> and market appreciation.</w:t>
      </w:r>
    </w:p>
    <w:p>
      <w:pPr>
        <w:spacing w:after="60" w:line="276" w:lineRule="auto"/>
        <w:ind w:left="432"/>
      </w:pPr>
      <w:r>
        <w:rPr>
          <w:sz w:val="18"/>
        </w:rPr>
        <w:t xml:space="preserve">On the net sales side, we're seeing really good momentum across all channels. Our high-net-worth business continues to perform well - we added </w:t>
      </w:r>
      <w:r>
        <w:rPr>
          <w:b/>
          <w:sz w:val="18"/>
        </w:rPr>
        <w:t>850</w:t>
      </w:r>
      <w:r>
        <w:rPr>
          <w:sz w:val="18"/>
        </w:rPr>
        <w:t xml:space="preserve"> new HNW client relationships this quarter, and importantly, these are deep relationships with an average of </w:t>
      </w:r>
      <w:r>
        <w:rPr>
          <w:b/>
          <w:sz w:val="18"/>
        </w:rPr>
        <w:t>4.2</w:t>
      </w:r>
      <w:r>
        <w:rPr>
          <w:sz w:val="18"/>
        </w:rPr>
        <w:t xml:space="preserve"> products per household. Our advisors are doing a great job with financial planning and holistic wealth management, not just investment products.</w:t>
      </w:r>
    </w:p>
    <w:p>
      <w:pPr>
        <w:spacing w:after="60" w:line="276" w:lineRule="auto"/>
        <w:ind w:left="432"/>
      </w:pPr>
      <w:r>
        <w:rPr>
          <w:sz w:val="18"/>
        </w:rPr>
        <w:t xml:space="preserve">On the digital side, our </w:t>
      </w:r>
      <w:r>
        <w:rPr>
          <w:i/>
          <w:sz w:val="18"/>
        </w:rPr>
        <w:t>InvestEase</w:t>
      </w:r>
      <w:r>
        <w:rPr>
          <w:sz w:val="18"/>
        </w:rPr>
        <w:t xml:space="preserve"> platform has been growing steadily, now with over </w:t>
      </w:r>
      <w:r>
        <w:rPr>
          <w:b/>
          <w:sz w:val="18"/>
        </w:rPr>
        <w:t>$2.5 billion</w:t>
      </w:r>
      <w:r>
        <w:rPr>
          <w:sz w:val="18"/>
        </w:rPr>
        <w:t xml:space="preserve"> in AUM and </w:t>
      </w:r>
      <w:r>
        <w:rPr>
          <w:b/>
          <w:sz w:val="18"/>
        </w:rPr>
        <w:t>65,000</w:t>
      </w:r>
      <w:r>
        <w:rPr>
          <w:sz w:val="18"/>
        </w:rPr>
        <w:t xml:space="preserve"> clients. You're right that there's more competition in the robo space, but </w:t>
      </w:r>
      <w:r>
        <w:rPr>
          <w:sz w:val="18"/>
          <w:highlight w:val="yellow"/>
        </w:rPr>
        <w:t>we see it as complementary to our full-service offering.</w:t>
      </w:r>
      <w:r>
        <w:rPr>
          <w:sz w:val="18"/>
        </w:rPr>
        <w:t xml:space="preserve"> Many InvestEase clients eventually transition to advised relationships as their wealth grows, so it's a good acquisition channel.</w:t>
      </w:r>
    </w:p>
    <w:p>
      <w:pPr>
        <w:spacing w:after="60" w:line="276" w:lineRule="auto"/>
        <w:ind w:left="432"/>
      </w:pPr>
      <w:r>
        <w:rPr>
          <w:sz w:val="18"/>
        </w:rPr>
        <w:t xml:space="preserve">We're also seeing strong results in our insurance business, with insurance premiums up </w:t>
      </w:r>
      <w:r>
        <w:rPr>
          <w:b/>
          <w:sz w:val="18"/>
        </w:rPr>
        <w:t>8%</w:t>
      </w:r>
      <w:r>
        <w:rPr>
          <w:sz w:val="18"/>
        </w:rPr>
        <w:t xml:space="preserve"> driven by new business growth in both life and P&amp;C. </w:t>
      </w:r>
      <w:r>
        <w:rPr>
          <w:sz w:val="18"/>
          <w:highlight w:val="yellow"/>
        </w:rPr>
        <w:t xml:space="preserve">The integration with our banking and wealth platforms is really paying off - about </w:t>
      </w:r>
      <w:r>
        <w:rPr>
          <w:b/>
          <w:sz w:val="18"/>
          <w:highlight w:val="yellow"/>
        </w:rPr>
        <w:t>40%</w:t>
      </w:r>
      <w:r>
        <w:rPr>
          <w:sz w:val="18"/>
          <w:highlight w:val="yellow"/>
        </w:rPr>
        <w:t xml:space="preserve"> of our new insurance clients are existing banking clients.</w:t>
      </w:r>
    </w:p>
    <w:p>
      <w:pPr>
        <w:spacing w:after="60" w:line="276" w:lineRule="auto"/>
        <w:ind w:left="432"/>
      </w:pPr>
      <w:r>
        <w:rPr>
          <w:sz w:val="18"/>
        </w:rPr>
        <w:t xml:space="preserve">Looking ahead, </w:t>
      </w:r>
      <w:r>
        <w:rPr>
          <w:b/>
          <w:color w:val="4D94FF"/>
          <w:sz w:val="22"/>
        </w:rPr>
        <w:t>we feel very good about our wealth franchise.</w:t>
      </w:r>
      <w:r>
        <w:rPr>
          <w:sz w:val="18"/>
        </w:rPr>
        <w:t xml:space="preserve"> We have the scale, the technology, and most importantly, the advisor talent to continue taking share in what remains a very attractive market.</w:t>
      </w:r>
    </w:p>
    <w:p>
      <w:pPr>
        <w:spacing w:before="240" w:after="240"/>
      </w:pPr>
    </w:p>
    <w:p>
      <w:pPr>
        <w:keepNext/>
        <w:spacing w:before="240" w:after="160"/>
        <w:shd w:val="clear" w:color="auto" w:fill="D4E1F5"/>
      </w:pPr>
      <w:r>
        <w:rPr>
          <w:b/>
          <w:color w:val="1F497D"/>
          <w:sz w:val="28"/>
        </w:rPr>
        <w:t>Theme 4: Capital Management &amp; Liquidity Position: CET1, buybacks, and capital deployment</w:t>
      </w:r>
    </w:p>
    <w:p>
      <w:pPr>
        <w:spacing w:before="120" w:after="80"/>
      </w:pPr>
      <w:r>
        <w:rPr>
          <w:color w:val="000000"/>
          <w:sz w:val="22"/>
          <w:u w:val="single"/>
        </w:rPr>
        <w:t>Conversation 1:</w:t>
      </w:r>
    </w:p>
    <w:p>
      <w:pPr>
        <w:spacing w:after="60" w:line="276" w:lineRule="auto"/>
        <w:ind w:left="432"/>
      </w:pPr>
      <w:r>
        <w:rPr>
          <w:b/>
          <w:sz w:val="18"/>
        </w:rPr>
        <w:t>Analyst from CIBC - Paul Holden</w:t>
      </w:r>
      <w:r>
        <w:rPr>
          <w:sz w:val="18"/>
        </w:rPr>
        <w:t xml:space="preserve">: </w:t>
      </w:r>
      <w:r>
        <w:rPr>
          <w:b/>
          <w:color w:val="1E4D8B"/>
          <w:sz w:val="22"/>
        </w:rPr>
        <w:t xml:space="preserve">Question on capital deployment. You bought back </w:t>
      </w:r>
      <w:r>
        <w:rPr>
          <w:b/>
          <w:color w:val="1E4D8B"/>
          <w:sz w:val="22"/>
        </w:rPr>
        <w:t>$1.2 billion</w:t>
      </w:r>
      <w:r>
        <w:rPr>
          <w:b/>
          <w:color w:val="1E4D8B"/>
          <w:sz w:val="22"/>
        </w:rPr>
        <w:t xml:space="preserve"> in shares this quarter. How should we think about the pace of buybacks for the rest of the year, especially if we see market volatility pick up?</w:t>
      </w:r>
    </w:p>
    <w:p>
      <w:pPr>
        <w:spacing w:after="60" w:line="276" w:lineRule="auto"/>
        <w:ind w:left="432"/>
      </w:pPr>
      <w:r>
        <w:rPr>
          <w:b/>
          <w:sz w:val="18"/>
        </w:rPr>
        <w:t>Dave McKay</w:t>
      </w:r>
      <w:r>
        <w:rPr>
          <w:sz w:val="18"/>
        </w:rPr>
        <w:t xml:space="preserve"> (President &amp; CEO): </w:t>
      </w:r>
      <w:r>
        <w:rPr>
          <w:b/>
          <w:color w:val="4D94FF"/>
          <w:sz w:val="22"/>
        </w:rPr>
        <w:t>On capital deployment, we remain disciplined and opportunistic.</w:t>
      </w:r>
      <w:r>
        <w:rPr>
          <w:sz w:val="18"/>
        </w:rPr>
        <w:t xml:space="preserve"> Our </w:t>
      </w:r>
      <w:r>
        <w:rPr>
          <w:b/>
          <w:sz w:val="18"/>
        </w:rPr>
        <w:t>CET1</w:t>
      </w:r>
      <w:r>
        <w:rPr>
          <w:sz w:val="18"/>
        </w:rPr>
        <w:t xml:space="preserve"> ratio ended the quarter at </w:t>
      </w:r>
      <w:r>
        <w:rPr>
          <w:b/>
          <w:sz w:val="18"/>
        </w:rPr>
        <w:t>13.1%</w:t>
      </w:r>
      <w:r>
        <w:rPr>
          <w:sz w:val="18"/>
        </w:rPr>
        <w:t xml:space="preserve">, which is </w:t>
      </w:r>
      <w:r>
        <w:rPr>
          <w:b/>
          <w:sz w:val="18"/>
        </w:rPr>
        <w:t>160 basis points</w:t>
      </w:r>
      <w:r>
        <w:rPr>
          <w:sz w:val="18"/>
        </w:rPr>
        <w:t xml:space="preserve"> above our target operating range of </w:t>
      </w:r>
      <w:r>
        <w:rPr>
          <w:b/>
          <w:sz w:val="18"/>
        </w:rPr>
        <w:t>11.5%</w:t>
      </w:r>
      <w:r>
        <w:rPr>
          <w:sz w:val="18"/>
        </w:rPr>
        <w:t>. We have significant capacity for capital deployment.</w:t>
      </w:r>
    </w:p>
    <w:p>
      <w:pPr>
        <w:spacing w:after="60" w:line="276" w:lineRule="auto"/>
        <w:ind w:left="432"/>
      </w:pPr>
      <w:r>
        <w:rPr>
          <w:sz w:val="18"/>
        </w:rPr>
        <w:t xml:space="preserve">On buybacks, we have </w:t>
      </w:r>
      <w:r>
        <w:rPr>
          <w:b/>
          <w:sz w:val="18"/>
        </w:rPr>
        <w:t>$3.5 billion</w:t>
      </w:r>
      <w:r>
        <w:rPr>
          <w:sz w:val="18"/>
        </w:rPr>
        <w:t xml:space="preserve"> remaining on our current </w:t>
      </w:r>
      <w:r>
        <w:rPr>
          <w:i/>
          <w:sz w:val="18"/>
        </w:rPr>
        <w:t>NCIB</w:t>
      </w:r>
      <w:r>
        <w:rPr>
          <w:sz w:val="18"/>
        </w:rPr>
        <w:t xml:space="preserve"> authorization, and we intend to be active in the market subject to share price and market conditions. If we see volatility, that could actually create more attractive buying opportunities. Our capital generation remains very strong - we generated about </w:t>
      </w:r>
      <w:r>
        <w:rPr>
          <w:b/>
          <w:sz w:val="18"/>
        </w:rPr>
        <w:t>40 basis points</w:t>
      </w:r>
      <w:r>
        <w:rPr>
          <w:sz w:val="18"/>
        </w:rPr>
        <w:t xml:space="preserve"> of </w:t>
      </w:r>
      <w:r>
        <w:rPr>
          <w:b/>
          <w:sz w:val="18"/>
        </w:rPr>
        <w:t>CET1</w:t>
      </w:r>
      <w:r>
        <w:rPr>
          <w:sz w:val="18"/>
        </w:rPr>
        <w:t xml:space="preserve"> this quarter organically, and we expect similar levels going forward.</w:t>
      </w:r>
    </w:p>
    <w:p>
      <w:pPr>
        <w:spacing w:after="60" w:line="276" w:lineRule="auto"/>
        <w:ind w:left="432"/>
      </w:pPr>
      <w:r>
        <w:rPr>
          <w:sz w:val="18"/>
        </w:rPr>
        <w:t xml:space="preserve">From an M&amp;A perspective, we're always looking at opportunities that can enhance our franchise and deliver value for shareholders. </w:t>
      </w:r>
      <w:r>
        <w:rPr>
          <w:sz w:val="18"/>
          <w:highlight w:val="yellow"/>
        </w:rPr>
        <w:t>We're particularly interested in capabilities that accelerate our digital transformation, expand our specialty lending capabilities, or enhance our wealth and capital markets platforms.</w:t>
      </w:r>
      <w:r>
        <w:rPr>
          <w:sz w:val="18"/>
        </w:rPr>
        <w:t xml:space="preserve"> But we remain highly disciplined on pricing and strategic fit. We won't do deals just to deploy capital - they need to be accretive to </w:t>
      </w:r>
      <w:r>
        <w:rPr>
          <w:b/>
          <w:sz w:val="18"/>
        </w:rPr>
        <w:t>ROE</w:t>
      </w:r>
      <w:r>
        <w:rPr>
          <w:sz w:val="18"/>
        </w:rPr>
        <w:t xml:space="preserve"> and aligned with our strategic priorities.</w:t>
      </w:r>
    </w:p>
    <w:p>
      <w:pPr>
        <w:spacing w:after="60" w:line="276" w:lineRule="auto"/>
        <w:ind w:left="432"/>
      </w:pPr>
      <w:r>
        <w:rPr>
          <w:sz w:val="18"/>
        </w:rPr>
        <w:t xml:space="preserve">Given the dislocation we're seeing in some parts of the market, particularly in the </w:t>
      </w:r>
      <w:r>
        <w:rPr>
          <w:i/>
          <w:sz w:val="18"/>
        </w:rPr>
        <w:t>US regional banking</w:t>
      </w:r>
      <w:r>
        <w:rPr>
          <w:sz w:val="18"/>
        </w:rPr>
        <w:t xml:space="preserve"> sector, we think there could be some interesting opportunities emerging. But we're patient and selective.</w:t>
      </w:r>
    </w:p>
    <w:p>
      <w:pPr>
        <w:spacing w:before="240" w:after="240"/>
      </w:pPr>
    </w:p>
    <w:p>
      <w:pPr>
        <w:keepNext/>
        <w:spacing w:before="240" w:after="160"/>
        <w:shd w:val="clear" w:color="auto" w:fill="D4E1F5"/>
      </w:pPr>
      <w:r>
        <w:rPr>
          <w:b/>
          <w:color w:val="1F497D"/>
          <w:sz w:val="28"/>
        </w:rPr>
        <w:t>Theme 5: Expense Management &amp; Efficiency: Efficiency gains and technology investments</w:t>
      </w:r>
    </w:p>
    <w:p>
      <w:pPr>
        <w:spacing w:before="120" w:after="80"/>
      </w:pPr>
      <w:r>
        <w:rPr>
          <w:color w:val="000000"/>
          <w:sz w:val="22"/>
          <w:u w:val="single"/>
        </w:rPr>
        <w:t>Conversation 1:</w:t>
      </w:r>
    </w:p>
    <w:p>
      <w:pPr>
        <w:spacing w:after="60" w:line="276" w:lineRule="auto"/>
        <w:ind w:left="432"/>
      </w:pPr>
      <w:r>
        <w:rPr>
          <w:b/>
          <w:sz w:val="18"/>
        </w:rPr>
        <w:t>Analyst from TD Securities - Mario Mendonca</w:t>
      </w:r>
      <w:r>
        <w:rPr>
          <w:sz w:val="18"/>
        </w:rPr>
        <w:t xml:space="preserve">: </w:t>
      </w:r>
      <w:r>
        <w:rPr>
          <w:b/>
          <w:color w:val="1E4D8B"/>
          <w:sz w:val="22"/>
        </w:rPr>
        <w:t xml:space="preserve">Your efficiency ratio improved to </w:t>
      </w:r>
      <w:r>
        <w:rPr>
          <w:b/>
          <w:color w:val="1E4D8B"/>
          <w:sz w:val="22"/>
        </w:rPr>
        <w:t>53.2%</w:t>
      </w:r>
      <w:r>
        <w:rPr>
          <w:b/>
          <w:color w:val="1E4D8B"/>
          <w:sz w:val="22"/>
        </w:rPr>
        <w:t xml:space="preserve"> this quarter. How much of that is sustainable versus driven by one-time revenue items?</w:t>
      </w:r>
      <w:r>
        <w:rPr>
          <w:sz w:val="18"/>
        </w:rPr>
        <w:t xml:space="preserve"> And what investments are you making that might pressure the efficiency ratio in coming quarters?</w:t>
      </w:r>
    </w:p>
    <w:p>
      <w:pPr>
        <w:spacing w:after="60" w:line="276" w:lineRule="auto"/>
        <w:ind w:left="432"/>
      </w:pPr>
      <w:r>
        <w:rPr>
          <w:b/>
          <w:sz w:val="18"/>
        </w:rPr>
        <w:t>Graeme Hepworth</w:t>
      </w:r>
      <w:r>
        <w:rPr>
          <w:sz w:val="18"/>
        </w:rPr>
        <w:t xml:space="preserve"> (CFO): </w:t>
      </w:r>
      <w:r>
        <w:rPr>
          <w:b/>
          <w:color w:val="4D94FF"/>
          <w:sz w:val="22"/>
        </w:rPr>
        <w:t xml:space="preserve">The </w:t>
      </w:r>
      <w:r>
        <w:rPr>
          <w:b/>
          <w:color w:val="4D94FF"/>
          <w:sz w:val="22"/>
        </w:rPr>
        <w:t>53.2%</w:t>
      </w:r>
      <w:r>
        <w:rPr>
          <w:b/>
          <w:color w:val="4D94FF"/>
          <w:sz w:val="22"/>
        </w:rPr>
        <w:t xml:space="preserve"> efficiency ratio represents about </w:t>
      </w:r>
      <w:r>
        <w:rPr>
          <w:b/>
          <w:color w:val="4D94FF"/>
          <w:sz w:val="22"/>
        </w:rPr>
        <w:t>100 basis points</w:t>
      </w:r>
      <w:r>
        <w:rPr>
          <w:b/>
          <w:color w:val="4D94FF"/>
          <w:sz w:val="22"/>
        </w:rPr>
        <w:t xml:space="preserve"> of improvement year-over-year, and we believe the majority of that is sustainable.</w:t>
      </w:r>
    </w:p>
    <w:p>
      <w:pPr>
        <w:spacing w:after="60" w:line="276" w:lineRule="auto"/>
        <w:ind w:left="432"/>
      </w:pPr>
      <w:r>
        <w:rPr>
          <w:sz w:val="18"/>
        </w:rPr>
        <w:t xml:space="preserve">On the revenue side, while we did have some strong capital markets results, the bulk of our revenue growth came from core banking activities - loan growth, deposit growth, and </w:t>
      </w:r>
      <w:r>
        <w:rPr>
          <w:i/>
          <w:sz w:val="18"/>
        </w:rPr>
        <w:t>wealth management</w:t>
      </w:r>
      <w:r>
        <w:rPr>
          <w:sz w:val="18"/>
        </w:rPr>
        <w:t xml:space="preserve"> flows - which are all sustainable. </w:t>
      </w:r>
      <w:r>
        <w:rPr>
          <w:sz w:val="18"/>
          <w:highlight w:val="yellow"/>
        </w:rPr>
        <w:t>We're not relying on markets or one-time items to drive our top line.</w:t>
      </w:r>
    </w:p>
    <w:p>
      <w:pPr>
        <w:spacing w:after="60" w:line="276" w:lineRule="auto"/>
        <w:ind w:left="432"/>
      </w:pPr>
      <w:r>
        <w:rPr>
          <w:sz w:val="18"/>
        </w:rPr>
        <w:t xml:space="preserve">On expenses, we've been very focused on productivity and automation. We've processed about </w:t>
      </w:r>
      <w:r>
        <w:rPr>
          <w:b/>
          <w:sz w:val="18"/>
        </w:rPr>
        <w:t>30%</w:t>
      </w:r>
      <w:r>
        <w:rPr>
          <w:sz w:val="18"/>
        </w:rPr>
        <w:t xml:space="preserve"> more transactions this quarter versus last year, but with essentially flat headcount in our operations areas. That's through investments in RPA, AI-driven processes, and straight-through processing. We've now automated over </w:t>
      </w:r>
      <w:r>
        <w:rPr>
          <w:b/>
          <w:sz w:val="18"/>
        </w:rPr>
        <w:t>200</w:t>
      </w:r>
      <w:r>
        <w:rPr>
          <w:sz w:val="18"/>
        </w:rPr>
        <w:t xml:space="preserve"> processes across the bank, saving us about </w:t>
      </w:r>
      <w:r>
        <w:rPr>
          <w:b/>
          <w:sz w:val="18"/>
        </w:rPr>
        <w:t>1.2 million</w:t>
      </w:r>
      <w:r>
        <w:rPr>
          <w:sz w:val="18"/>
        </w:rPr>
        <w:t xml:space="preserve"> hours annually.</w:t>
      </w:r>
    </w:p>
    <w:p>
      <w:pPr>
        <w:spacing w:after="60" w:line="276" w:lineRule="auto"/>
        <w:ind w:left="432"/>
      </w:pPr>
      <w:r>
        <w:rPr>
          <w:sz w:val="18"/>
        </w:rPr>
        <w:t xml:space="preserve">That said, we are making significant investments in technology and our people. We're spending about </w:t>
      </w:r>
      <w:r>
        <w:rPr>
          <w:b/>
          <w:sz w:val="18"/>
        </w:rPr>
        <w:t>$4.5 billion</w:t>
      </w:r>
      <w:r>
        <w:rPr>
          <w:sz w:val="18"/>
        </w:rPr>
        <w:t xml:space="preserve"> this year on technology, up </w:t>
      </w:r>
      <w:r>
        <w:rPr>
          <w:b/>
          <w:sz w:val="18"/>
        </w:rPr>
        <w:t>8%</w:t>
      </w:r>
      <w:r>
        <w:rPr>
          <w:sz w:val="18"/>
        </w:rPr>
        <w:t xml:space="preserve"> from last year. A big portion of that is going toward cloud migration, data infrastructure, and AI capabilities. We're also investing in our branch network renovation and digital channels.</w:t>
      </w:r>
    </w:p>
    <w:p>
      <w:pPr>
        <w:spacing w:after="60" w:line="276" w:lineRule="auto"/>
        <w:ind w:left="432"/>
      </w:pPr>
      <w:r>
        <w:rPr>
          <w:sz w:val="18"/>
        </w:rPr>
        <w:t xml:space="preserve">On compensation, we're investing in talent, particularly in technology, data science, and specialized roles. But we're funding that through productivity gains in other areas. </w:t>
      </w:r>
      <w:r>
        <w:rPr>
          <w:b/>
          <w:color w:val="4D94FF"/>
          <w:sz w:val="22"/>
        </w:rPr>
        <w:t xml:space="preserve">Net-net, we expect to deliver positive operating leverage of </w:t>
      </w:r>
      <w:r>
        <w:rPr>
          <w:b/>
          <w:color w:val="4D94FF"/>
          <w:sz w:val="22"/>
        </w:rPr>
        <w:t>200</w:t>
      </w:r>
      <w:r>
        <w:rPr>
          <w:b/>
          <w:color w:val="4D94FF"/>
          <w:sz w:val="22"/>
        </w:rPr>
        <w:t xml:space="preserve"> to </w:t>
      </w:r>
      <w:r>
        <w:rPr>
          <w:b/>
          <w:color w:val="4D94FF"/>
          <w:sz w:val="22"/>
        </w:rPr>
        <w:t>300 basis points</w:t>
      </w:r>
      <w:r>
        <w:rPr>
          <w:b/>
          <w:color w:val="4D94FF"/>
          <w:sz w:val="22"/>
        </w:rPr>
        <w:t xml:space="preserve"> this year and continue improving our efficiency ratio over time.</w:t>
      </w:r>
      <w:r>
        <w:rPr>
          <w:sz w:val="18"/>
        </w:rPr>
        <w:t xml:space="preserve"> </w:t>
      </w:r>
      <w:r>
        <w:rPr>
          <w:sz w:val="18"/>
          <w:u w:val="single"/>
        </w:rPr>
        <w:t xml:space="preserve">Our target remains to get below </w:t>
      </w:r>
      <w:r>
        <w:rPr>
          <w:b/>
          <w:sz w:val="18"/>
          <w:u w:val="single"/>
        </w:rPr>
        <w:t>50%</w:t>
      </w:r>
      <w:r>
        <w:rPr>
          <w:sz w:val="18"/>
          <w:u w:val="single"/>
        </w:rPr>
        <w:t xml:space="preserve"> within the next couple of years.</w:t>
      </w:r>
    </w:p>
    <w:sectPr w:rsidR="00FC693F" w:rsidRPr="0006063C" w:rsidSect="00034616">
      <w:footerReference w:type="default" r:id="rId9"/>
      <w:pgSz w:w="12240" w:h="15840"/>
      <w:pgMar w:top="720" w:right="720"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ayout w:type="fixed"/>
      <w:tblLook w:firstColumn="1" w:firstRow="1" w:lastColumn="0" w:lastRow="0" w:noHBand="0" w:noVBand="1" w:val="04A0"/>
    </w:tblPr>
    <w:tblGrid>
      <w:gridCol w:w="5328"/>
      <w:gridCol w:w="5328"/>
    </w:tblGrid>
    <w:tr>
      <w:tc>
        <w:tcPr>
          <w:tcW w:type="dxa" w:w="5328"/>
          <w:tcBorders>
            <w:top w:val="nil"/>
            <w:left w:val="nil"/>
            <w:bottom w:val="nil"/>
            <w:right w:val="nil"/>
          </w:tcBorders>
        </w:tcPr>
        <w:p>
          <w:pPr>
            <w:jc w:val="left"/>
          </w:pPr>
          <w:r>
            <w:rPr>
              <w:color w:val="444444"/>
              <w:sz w:val="18"/>
            </w:rPr>
            <w:t>RY | Q2/25 | Investor Call - Key Themes</w:t>
          </w:r>
        </w:p>
      </w:tc>
      <w:tc>
        <w:tcPr>
          <w:tcW w:type="dxa" w:w="5328"/>
          <w:tcBorders>
            <w:top w:val="nil"/>
            <w:left w:val="nil"/>
            <w:bottom w:val="nil"/>
            <w:right w:val="nil"/>
          </w:tcBorders>
        </w:tcPr>
        <w:p>
          <w:pPr>
            <w:jc w:val="right"/>
          </w:pPr>
          <w:r>
            <w:fldChar w:fldCharType="begin"/>
            <w:instrText>PAGE</w:instrText>
            <w:fldChar w:fldCharType="end"/>
          </w:r>
          <w:r>
            <w:rPr>
              <w:color w:val="444444"/>
              <w:sz w:val="18"/>
            </w:rPr>
            <w:t xml:space="preserve"> | Page</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