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and Economic Outlook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>: 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We're seeing strong loan demand across both </w:t>
      </w:r>
      <w:r>
        <w:rPr>
          <w:i/>
          <w:sz w:val="18"/>
        </w:rPr>
        <w:t>commercial</w:t>
      </w:r>
      <w:r>
        <w:rPr>
          <w:sz w:val="18"/>
        </w:rPr>
        <w:t xml:space="preserve"> and </w:t>
      </w:r>
      <w:r>
        <w:rPr>
          <w:i/>
          <w:sz w:val="18"/>
        </w:rPr>
        <w:t>retail segments</w:t>
      </w:r>
      <w:r>
        <w:rPr>
          <w:sz w:val="18"/>
        </w:rPr>
        <w:t xml:space="preserve">, and </w:t>
      </w:r>
      <w:r>
        <w:rPr>
          <w:b/>
          <w:i/>
          <w:sz w:val="18"/>
        </w:rPr>
        <w:t>we expect mid-single digit growth to continue</w:t>
      </w:r>
      <w:r>
        <w:rPr>
          <w:sz w:val="18"/>
        </w:rPr>
        <w:t>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>: 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>: We remain cautiously optimistic about credit quality.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>: 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We remain cautiously optimistic about credit quality. Our provisions reflect a </w:t>
      </w:r>
      <w:r>
        <w:rPr>
          <w:i/>
          <w:sz w:val="18"/>
        </w:rPr>
        <w:t>prudent approach</w:t>
      </w:r>
      <w:r>
        <w:rPr>
          <w:sz w:val="18"/>
        </w:rPr>
        <w:t xml:space="preserve">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