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- Provisions and Economic Outlook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We're seeing strong loan demand across both commercial and retail segments, and we expect mid-single digit growth to continue.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Can you provide more color on the loan growth outlook for the remainder of 2025?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 Our provisions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