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- Provisions Outlook in Economic Uncertainty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 xml:space="preserve">We're seeing strong loan demand across both </w:t>
      </w:r>
      <w:r>
        <w:rPr>
          <w:b/>
          <w:i/>
          <w:color w:val="4D94FF"/>
          <w:sz w:val="22"/>
        </w:rPr>
        <w:t>commercial</w:t>
      </w:r>
      <w:r>
        <w:rPr>
          <w:b/>
          <w:color w:val="4D94FF"/>
          <w:sz w:val="22"/>
        </w:rPr>
        <w:t xml:space="preserve"> and </w:t>
      </w:r>
      <w:r>
        <w:rPr>
          <w:b/>
          <w:i/>
          <w:color w:val="4D94FF"/>
          <w:sz w:val="22"/>
        </w:rPr>
        <w:t>retail segments</w:t>
      </w:r>
      <w:r>
        <w:rPr>
          <w:b/>
          <w:color w:val="4D94FF"/>
          <w:sz w:val="22"/>
        </w:rPr>
        <w:t>, and we expect mid-single digit growth to continue.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Can you provide more color on the loan growth outlook for the remainder of 2025?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