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1: Credit &amp; Risk - Provisions Outlook in Economic Environment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How are you thinking about credit provisions given the current economic environment?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 xml:space="preserve">We're seeing strong loan demand across both </w:t>
      </w:r>
      <w:r>
        <w:rPr>
          <w:b/>
          <w:i/>
          <w:color w:val="4D94FF"/>
          <w:sz w:val="22"/>
        </w:rPr>
        <w:t>commercial</w:t>
      </w:r>
      <w:r>
        <w:rPr>
          <w:b/>
          <w:color w:val="4D94FF"/>
          <w:sz w:val="22"/>
        </w:rPr>
        <w:t xml:space="preserve"> and </w:t>
      </w:r>
      <w:r>
        <w:rPr>
          <w:b/>
          <w:i/>
          <w:color w:val="4D94FF"/>
          <w:sz w:val="22"/>
        </w:rPr>
        <w:t>retail segments</w:t>
      </w:r>
      <w:r>
        <w:rPr>
          <w:b/>
          <w:color w:val="4D94FF"/>
          <w:sz w:val="22"/>
        </w:rPr>
        <w:t>, and we expect mid-single digit growth to continue.</w:t>
      </w:r>
    </w:p>
    <w:p>
      <w:pPr>
        <w:spacing w:before="120" w:after="120"/>
        <w:ind w:left="432"/>
      </w:pPr>
      <w:r>
        <w:rPr>
          <w:color w:val="C8C8C8"/>
          <w:sz w:val="16"/>
        </w:rPr>
        <w:t>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2: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Can you provide more color on the loan growth outlook for the remainder of 2025?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 remain cautiously optimistic about credit quality.</w:t>
      </w:r>
      <w:r>
        <w:rPr>
          <w:sz w:val="18"/>
        </w:rPr>
        <w:t xml:space="preserve"> Our provisions reflect a prudent approach given economic uncertainties.</w:t>
      </w:r>
    </w:p>
    <w:p>
      <w:pPr>
        <w:spacing w:before="120" w:after="120"/>
        <w:ind w:left="432"/>
      </w:pPr>
      <w:r>
        <w:rPr>
          <w:color w:val="C8C8C8"/>
          <w:sz w:val="16"/>
        </w:rPr>
        <w:t>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3: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How are you thinking about credit provisions given the current economic environment?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 remain cautiously optimistic about credit quality.</w:t>
      </w:r>
      <w:r>
        <w:rPr>
          <w:sz w:val="18"/>
        </w:rPr>
        <w:t xml:space="preserve"> Our provisions reflect a prudent approach given economic uncertainties.</w:t>
      </w:r>
    </w:p>
    <w:sectPr w:rsidR="00FC693F" w:rsidRPr="0006063C" w:rsidSect="00034616">
      <w:footerReference w:type="default" r:id="rId9"/>
      <w:pgSz w:w="12240" w:h="15840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Style w:val="TableGrid"/>
      <w:tblW w:type="auto" w:w="0"/>
      <w:tblLayout w:type="fixed"/>
      <w:tblLook w:firstColumn="1" w:firstRow="1" w:lastColumn="0" w:lastRow="0" w:noHBand="0" w:noVBand="1" w:val="04A0"/>
    </w:tblPr>
    <w:tblGrid>
      <w:gridCol w:w="5328"/>
      <w:gridCol w:w="5328"/>
    </w:tblGrid>
    <w:tr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left"/>
          </w:pPr>
          <w:r>
            <w:rPr>
              <w:color w:val="444444"/>
              <w:sz w:val="18"/>
            </w:rPr>
            <w:t>RY | Q2/25 | Investor Call - Key Themes</w:t>
          </w:r>
        </w:p>
      </w:tc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fldChar w:fldCharType="begin"/>
            <w:instrText>PAGE</w:instrText>
            <w:fldChar w:fldCharType="end"/>
          </w:r>
          <w:r>
            <w:rPr>
              <w:color w:val="444444"/>
              <w:sz w:val="18"/>
            </w:rPr>
            <w:t xml:space="preserve"> | Page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