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Financial Performance - Revenue Growth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are your revenue expectations for next quarter?</w:t>
      </w:r>
    </w:p>
    <w:p>
      <w:pPr>
        <w:spacing w:after="60" w:line="276" w:lineRule="auto"/>
      </w:pPr>
      <w:r>
        <w:rPr>
          <w:b/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expect </w:t>
      </w:r>
      <w:r>
        <w:rPr>
          <w:b/>
          <w:sz w:val="18"/>
        </w:rPr>
        <w:t>strong growth</w:t>
      </w:r>
      <w:r>
        <w:rPr>
          <w:sz w:val="18"/>
        </w:rPr>
        <w:t xml:space="preserve"> driven by our </w:t>
      </w:r>
      <w:r>
        <w:rPr>
          <w:i/>
          <w:sz w:val="18"/>
        </w:rPr>
        <w:t>core business segments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2: Credit &amp; Risk - Current Quality Trends and Provisions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Credit Quality Trend Analysis</w:t>
      </w:r>
    </w:p>
    <w:p>
      <w:pPr>
        <w:spacing w:after="60" w:line="276" w:lineRule="auto"/>
      </w:pPr>
      <w:r>
        <w:rPr>
          <w:b/>
          <w:sz w:val="18"/>
        </w:rPr>
        <w:t>Analyst</w:t>
      </w:r>
      <w:r>
        <w:rPr>
          <w:sz w:val="18"/>
        </w:rPr>
        <w:t>: How is credit quality trending?</w:t>
      </w:r>
    </w:p>
    <w:p>
      <w:pPr>
        <w:spacing w:after="60" w:line="276" w:lineRule="auto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sz w:val="18"/>
        </w:rPr>
        <w:t>Credit metrics remain strong</w:t>
      </w:r>
      <w:r>
        <w:rPr>
          <w:sz w:val="18"/>
        </w:rPr>
        <w:t xml:space="preserve"> with provisions at </w:t>
      </w:r>
      <w:r>
        <w:rPr>
          <w:b/>
          <w:sz w:val="18"/>
        </w:rPr>
        <w:t>normalized levels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3: Capital Strategy - CET1 Ratio and Growth Support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is your capital ratio outlook?</w:t>
      </w:r>
    </w:p>
    <w:p>
      <w:pPr>
        <w:spacing w:after="60" w:line="276" w:lineRule="auto"/>
      </w:pPr>
      <w:r>
        <w:rPr>
          <w:b/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maintain a strong </w:t>
      </w:r>
      <w:r>
        <w:rPr>
          <w:b/>
          <w:sz w:val="18"/>
        </w:rPr>
        <w:t>CET1 ratio</w:t>
      </w:r>
      <w:r>
        <w:rPr>
          <w:sz w:val="18"/>
        </w:rPr>
        <w:t xml:space="preserve"> above regulatory minimums.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Test | Q3/24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