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Financial Performance - Revenue Growth Expectations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sz w:val="18"/>
        </w:rPr>
        <w:t>[Analyst Name, Firm]</w:t>
      </w:r>
    </w:p>
    <w:p>
      <w:pPr>
        <w:spacing w:after="60" w:line="276" w:lineRule="auto"/>
      </w:pPr>
      <w:r>
        <w:rPr>
          <w:sz w:val="18"/>
        </w:rPr>
        <w:t>What are your revenue expectations for next quarter?</w:t>
      </w:r>
    </w:p>
    <w:p>
      <w:pPr>
        <w:spacing w:after="60" w:line="276" w:lineRule="auto"/>
      </w:pPr>
      <w:r>
        <w:rPr>
          <w:sz w:val="18"/>
        </w:rPr>
        <w:t>[Executive Name, Title]:</w:t>
      </w:r>
    </w:p>
    <w:p>
      <w:pPr>
        <w:spacing w:after="60" w:line="276" w:lineRule="auto"/>
      </w:pPr>
      <w:r>
        <w:rPr>
          <w:sz w:val="18"/>
        </w:rPr>
        <w:t xml:space="preserve">We expect </w:t>
      </w:r>
      <w:r>
        <w:rPr>
          <w:b/>
          <w:sz w:val="18"/>
        </w:rPr>
        <w:t>strong growth</w:t>
      </w:r>
      <w:r>
        <w:rPr>
          <w:sz w:val="18"/>
        </w:rPr>
        <w:t xml:space="preserve"> driven by our </w:t>
      </w:r>
      <w:r>
        <w:rPr>
          <w:i/>
          <w:sz w:val="18"/>
        </w:rPr>
        <w:t>core business segments</w:t>
      </w:r>
      <w:r>
        <w:rPr>
          <w:sz w:val="18"/>
        </w:rPr>
        <w:t>.</w:t>
      </w:r>
    </w:p>
    <w:p>
      <w:pPr>
        <w:spacing w:before="240" w:after="240"/>
      </w:pPr>
    </w:p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2: Credit Quality - Trends and Provisions Overview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Analyst:</w:t>
      </w:r>
    </w:p>
    <w:p>
      <w:pPr>
        <w:spacing w:after="60" w:line="276" w:lineRule="auto"/>
      </w:pPr>
      <w:r>
        <w:rPr>
          <w:sz w:val="18"/>
        </w:rPr>
        <w:t>How is credit quality trending?</w:t>
      </w:r>
    </w:p>
    <w:p>
      <w:pPr>
        <w:spacing w:after="60" w:line="276" w:lineRule="auto"/>
      </w:pPr>
      <w:r>
        <w:rPr>
          <w:b/>
          <w:sz w:val="18"/>
        </w:rPr>
        <w:t>Executive:</w:t>
      </w:r>
    </w:p>
    <w:p>
      <w:pPr>
        <w:spacing w:after="60" w:line="276" w:lineRule="auto"/>
      </w:pPr>
      <w:r>
        <w:rPr>
          <w:sz w:val="18"/>
        </w:rPr>
        <w:t xml:space="preserve">Credit metrics remain strong with </w:t>
      </w:r>
      <w:r>
        <w:rPr>
          <w:b/>
          <w:sz w:val="18"/>
        </w:rPr>
        <w:t>provisions at normalized levels</w:t>
      </w:r>
      <w:r>
        <w:rPr>
          <w:sz w:val="18"/>
        </w:rPr>
        <w:t>.</w:t>
      </w:r>
    </w:p>
    <w:p>
      <w:pPr>
        <w:spacing w:before="240" w:after="240"/>
      </w:pPr>
    </w:p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3: Capital Strategy - Outlook on CET1 Strength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Analyst Name, Firm</w:t>
      </w:r>
    </w:p>
    <w:p>
      <w:pPr>
        <w:spacing w:after="60" w:line="276" w:lineRule="auto"/>
      </w:pPr>
      <w:r>
        <w:rPr>
          <w:sz w:val="18"/>
        </w:rPr>
        <w:t>What is your capital ratio outlook?</w:t>
      </w:r>
    </w:p>
    <w:p>
      <w:pPr>
        <w:spacing w:after="60" w:line="276" w:lineRule="auto"/>
      </w:pPr>
      <w:r>
        <w:rPr>
          <w:b/>
          <w:sz w:val="18"/>
        </w:rPr>
        <w:t>Executive Name, Title</w:t>
      </w:r>
      <w:r>
        <w:rPr>
          <w:sz w:val="18"/>
        </w:rPr>
        <w:t>:</w:t>
      </w:r>
    </w:p>
    <w:p>
      <w:pPr>
        <w:spacing w:after="60" w:line="276" w:lineRule="auto"/>
      </w:pPr>
      <w:r>
        <w:rPr>
          <w:sz w:val="18"/>
        </w:rPr>
        <w:t xml:space="preserve">We maintain a strong </w:t>
      </w:r>
      <w:r>
        <w:rPr>
          <w:b/>
          <w:sz w:val="18"/>
        </w:rPr>
        <w:t>CET1 ratio</w:t>
      </w:r>
      <w:r>
        <w:rPr>
          <w:sz w:val="18"/>
        </w:rPr>
        <w:t xml:space="preserve"> above regulatory minimums.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Test | Q3/24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