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Q3 2024 Strategic Planning Meeting</w:t>
      </w:r>
    </w:p>
    <w:p>
      <w:r>
        <w:t>Date: 2025-08-27</w:t>
      </w:r>
    </w:p>
    <w:p>
      <w:r>
        <w:t>Location: Corporate Headquarters, Conference Room A</w:t>
      </w:r>
    </w:p>
    <w:p>
      <w:r>
        <w:t>Duration: 2 hours 30 minutes</w:t>
      </w:r>
    </w:p>
    <w:p/>
    <w:p>
      <w:pPr>
        <w:pStyle w:val="Heading1"/>
      </w:pPr>
      <w:r>
        <w:t>Executive Summary</w:t>
      </w:r>
    </w:p>
    <w:p>
      <w:r>
        <w:t>This document summarizes the key discussions, decisions, and action items from our Q3 2024 strategic planning meeting. The meeting focused on three main areas: revenue growth initiatives, operational efficiency improvements, and talent development strategies.</w:t>
      </w:r>
    </w:p>
    <w:p/>
    <w:p>
      <w:pPr>
        <w:pStyle w:val="Heading1"/>
      </w:pPr>
      <w:r>
        <w:t>Attendees</w:t>
      </w:r>
    </w:p>
    <w:p>
      <w:pPr>
        <w:pStyle w:val="ListBullet"/>
      </w:pPr>
      <w:r>
        <w:t>Sarah Johnson - Chief Executive Officer</w:t>
      </w:r>
    </w:p>
    <w:p>
      <w:pPr>
        <w:pStyle w:val="ListBullet"/>
      </w:pPr>
      <w:r>
        <w:t>Michael Chen - Chief Financial Officer</w:t>
      </w:r>
    </w:p>
    <w:p>
      <w:pPr>
        <w:pStyle w:val="ListBullet"/>
      </w:pPr>
      <w:r>
        <w:t>Lisa Rodriguez - Chief Operating Officer</w:t>
      </w:r>
    </w:p>
    <w:p>
      <w:pPr>
        <w:pStyle w:val="ListBullet"/>
      </w:pPr>
      <w:r>
        <w:t>James Park - VP of Sales</w:t>
      </w:r>
    </w:p>
    <w:p>
      <w:pPr>
        <w:pStyle w:val="ListBullet"/>
      </w:pPr>
      <w:r>
        <w:t>Emma Watson - VP of Marketing</w:t>
      </w:r>
    </w:p>
    <w:p>
      <w:pPr>
        <w:pStyle w:val="ListBullet"/>
      </w:pPr>
      <w:r>
        <w:t>Robert Singh - VP of Engineering</w:t>
      </w:r>
    </w:p>
    <w:p>
      <w:pPr>
        <w:pStyle w:val="ListBullet"/>
      </w:pPr>
      <w:r>
        <w:t>Jennifer Lee - VP of Human Resources</w:t>
      </w:r>
    </w:p>
    <w:p>
      <w:pPr>
        <w:pStyle w:val="ListBullet"/>
      </w:pPr>
      <w:r>
        <w:t>David Miller - VP of Product Management</w:t>
      </w:r>
    </w:p>
    <w:p/>
    <w:p>
      <w:pPr>
        <w:pStyle w:val="Heading1"/>
      </w:pPr>
      <w:r>
        <w:t>1. Revenue Growth Initiatives</w:t>
      </w:r>
    </w:p>
    <w:p>
      <w:r>
        <w:t>The team discussed several strategies to accelerate revenue growth in Q4 2024 and beyond. Key focus areas included expanding into new markets, launching premium product tiers, and enhancing our partnership ecosystem.</w:t>
      </w:r>
    </w:p>
    <w:p>
      <w:pPr>
        <w:pStyle w:val="Heading2"/>
      </w:pPr>
      <w:r>
        <w:t>Market Expansion</w:t>
      </w:r>
    </w:p>
    <w:p>
      <w:r>
        <w:t>James Park presented data showing strong demand signals from the European and Asian markets. Current analysis indicates potential for 40% revenue growth by establishing presence in these regions. The team agreed to prioritize Germany, France, and Japan as initial target markets.</w:t>
      </w:r>
    </w:p>
    <w:p>
      <w:r>
        <w:t>Key decisions:</w:t>
      </w:r>
    </w:p>
    <w:p>
      <w:pPr>
        <w:pStyle w:val="ListBullet"/>
      </w:pPr>
      <w:r>
        <w:t>Allocate $2.5M budget for international expansion in Q4</w:t>
      </w:r>
    </w:p>
    <w:p>
      <w:pPr>
        <w:pStyle w:val="ListBullet"/>
      </w:pPr>
      <w:r>
        <w:t>Hire country managers for Germany and Japan by November 2024</w:t>
      </w:r>
    </w:p>
    <w:p>
      <w:pPr>
        <w:pStyle w:val="ListBullet"/>
      </w:pPr>
      <w:r>
        <w:t>Partner with local distributors in France initially</w:t>
      </w:r>
    </w:p>
    <w:p>
      <w:pPr>
        <w:pStyle w:val="ListBullet"/>
      </w:pPr>
      <w:r>
        <w:t>Translate product documentation and marketing materials into target languages</w:t>
      </w:r>
    </w:p>
    <w:p/>
    <w:p>
      <w:pPr>
        <w:pStyle w:val="Heading2"/>
      </w:pPr>
      <w:r>
        <w:t>Premium Product Tier</w:t>
      </w:r>
    </w:p>
    <w:p>
      <w:r>
        <w:t>David Miller outlined the product roadmap for introducing a premium tier targeting enterprise customers. Market research shows enterprises are willing to pay 3x current pricing for advanced features including enhanced security, dedicated support, and custom integrations.</w:t>
      </w:r>
    </w:p>
    <w:p>
      <w:r>
        <w:t>Proposed premium features:</w:t>
      </w:r>
    </w:p>
    <w:p>
      <w:pPr>
        <w:pStyle w:val="ListBullet"/>
      </w:pPr>
      <w:r>
        <w:t>Single Sign-On (SSO) integration</w:t>
      </w:r>
    </w:p>
    <w:p>
      <w:pPr>
        <w:pStyle w:val="ListBullet"/>
      </w:pPr>
      <w:r>
        <w:t>24/7 dedicated support hotline</w:t>
      </w:r>
    </w:p>
    <w:p>
      <w:pPr>
        <w:pStyle w:val="ListBullet"/>
      </w:pPr>
      <w:r>
        <w:t>Custom API rate limits</w:t>
      </w:r>
    </w:p>
    <w:p>
      <w:pPr>
        <w:pStyle w:val="ListBullet"/>
      </w:pPr>
      <w:r>
        <w:t>Advanced analytics dashboard</w:t>
      </w:r>
    </w:p>
    <w:p>
      <w:pPr>
        <w:pStyle w:val="ListBullet"/>
      </w:pPr>
      <w:r>
        <w:t>Compliance reporting tools (SOC2, HIPAA)</w:t>
      </w:r>
    </w:p>
    <w:p>
      <w:pPr>
        <w:pStyle w:val="ListBullet"/>
      </w:pPr>
      <w:r>
        <w:t>Custom training and onboarding</w:t>
      </w:r>
    </w:p>
    <w:p/>
    <w:p>
      <w:pPr>
        <w:pStyle w:val="Heading1"/>
      </w:pPr>
      <w:r>
        <w:t>2. Operational Efficiency Improvements</w:t>
      </w:r>
    </w:p>
    <w:p>
      <w:r>
        <w:t>Lisa Rodriguez presented findings from the Q2 operational audit. While overall efficiency has improved by 15% year-over-year, several areas were identified for optimization.</w:t>
      </w:r>
    </w:p>
    <w:p>
      <w:pPr>
        <w:pStyle w:val="Heading2"/>
      </w:pPr>
      <w:r>
        <w:t>Process Automation</w:t>
      </w:r>
    </w:p>
    <w:p>
      <w:r>
        <w:t>The operations team has identified 12 manual processes that can be automated, potentially saving 200 hours per month and reducing errors by 60%. Priority will be given to customer onboarding, invoice processing, and inventory management workflows.</w:t>
      </w:r>
    </w:p>
    <w:p>
      <w:pPr>
        <w:pStyle w:val="Heading2"/>
      </w:pPr>
      <w:r>
        <w:t>Cost Reduction Initiatives</w:t>
      </w:r>
    </w:p>
    <w:p>
      <w:r>
        <w:t>Michael Chen presented a comprehensive cost analysis showing opportunities to reduce operating expenses by $1.8M annually without impacting service quality. Main areas include renegotiating vendor contracts, consolidating software subscriptions, and optimizing cloud infrastructure.</w:t>
      </w:r>
    </w:p>
    <w:p>
      <w:r>
        <w:t>Projected Cost Savings: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Annual Savings</w:t>
            </w:r>
          </w:p>
        </w:tc>
        <w:tc>
          <w:tcPr>
            <w:tcW w:type="dxa" w:w="2880"/>
          </w:tcPr>
          <w:p>
            <w:r>
              <w:t>Implementation Timeline</w:t>
            </w:r>
          </w:p>
        </w:tc>
      </w:tr>
      <w:tr>
        <w:tc>
          <w:tcPr>
            <w:tcW w:type="dxa" w:w="2880"/>
          </w:tcPr>
          <w:p>
            <w:r>
              <w:t>Vendor Contract Renegotiation</w:t>
            </w:r>
          </w:p>
        </w:tc>
        <w:tc>
          <w:tcPr>
            <w:tcW w:type="dxa" w:w="2880"/>
          </w:tcPr>
          <w:p>
            <w:r>
              <w:t>$650,000</w:t>
            </w:r>
          </w:p>
        </w:tc>
        <w:tc>
          <w:tcPr>
            <w:tcW w:type="dxa" w:w="2880"/>
          </w:tcPr>
          <w:p>
            <w:r>
              <w:t>Q4 2024</w:t>
            </w:r>
          </w:p>
        </w:tc>
      </w:tr>
      <w:tr>
        <w:tc>
          <w:tcPr>
            <w:tcW w:type="dxa" w:w="2880"/>
          </w:tcPr>
          <w:p>
            <w:r>
              <w:t>Software Consolidation</w:t>
            </w:r>
          </w:p>
        </w:tc>
        <w:tc>
          <w:tcPr>
            <w:tcW w:type="dxa" w:w="2880"/>
          </w:tcPr>
          <w:p>
            <w:r>
              <w:t>$420,000</w:t>
            </w:r>
          </w:p>
        </w:tc>
        <w:tc>
          <w:tcPr>
            <w:tcW w:type="dxa" w:w="2880"/>
          </w:tcPr>
          <w:p>
            <w:r>
              <w:t>Q1 2025</w:t>
            </w:r>
          </w:p>
        </w:tc>
      </w:tr>
      <w:tr>
        <w:tc>
          <w:tcPr>
            <w:tcW w:type="dxa" w:w="2880"/>
          </w:tcPr>
          <w:p>
            <w:r>
              <w:t>Cloud Infrastructure Optimization</w:t>
            </w:r>
          </w:p>
        </w:tc>
        <w:tc>
          <w:tcPr>
            <w:tcW w:type="dxa" w:w="2880"/>
          </w:tcPr>
          <w:p>
            <w:r>
              <w:t>$380,000</w:t>
            </w:r>
          </w:p>
        </w:tc>
        <w:tc>
          <w:tcPr>
            <w:tcW w:type="dxa" w:w="2880"/>
          </w:tcPr>
          <w:p>
            <w:r>
              <w:t>Q4 2024</w:t>
            </w:r>
          </w:p>
        </w:tc>
      </w:tr>
      <w:tr>
        <w:tc>
          <w:tcPr>
            <w:tcW w:type="dxa" w:w="2880"/>
          </w:tcPr>
          <w:p>
            <w:r>
              <w:t>Office Space Reduction</w:t>
            </w:r>
          </w:p>
        </w:tc>
        <w:tc>
          <w:tcPr>
            <w:tcW w:type="dxa" w:w="2880"/>
          </w:tcPr>
          <w:p>
            <w:r>
              <w:t>$350,000</w:t>
            </w:r>
          </w:p>
        </w:tc>
        <w:tc>
          <w:tcPr>
            <w:tcW w:type="dxa" w:w="2880"/>
          </w:tcPr>
          <w:p>
            <w:r>
              <w:t>Q2 2025</w:t>
            </w:r>
          </w:p>
        </w:tc>
      </w:tr>
    </w:tbl>
    <w:p/>
    <w:p>
      <w:pPr>
        <w:pStyle w:val="Heading1"/>
      </w:pPr>
      <w:r>
        <w:t>3. Talent Development Strategies</w:t>
      </w:r>
    </w:p>
    <w:p>
      <w:r>
        <w:t>Jennifer Lee presented the talent development roadmap focusing on retention, skill development, and succession planning. Current employee satisfaction scores are at 78%, with a goal to reach 85% by year-end.</w:t>
      </w:r>
    </w:p>
    <w:p>
      <w:pPr>
        <w:pStyle w:val="Heading2"/>
      </w:pPr>
      <w:r>
        <w:t>Training Programs</w:t>
      </w:r>
    </w:p>
    <w:p>
      <w:r>
        <w:t>Based on skills gap analysis, the following training programs will be launched:</w:t>
      </w:r>
    </w:p>
    <w:p>
      <w:pPr>
        <w:pStyle w:val="ListBullet"/>
      </w:pPr>
      <w:r>
        <w:t>Leadership Development Program - 20 high-potential employees</w:t>
      </w:r>
    </w:p>
    <w:p>
      <w:pPr>
        <w:pStyle w:val="ListBullet"/>
      </w:pPr>
      <w:r>
        <w:t>Technical Skills Bootcamp - Focus on AI/ML and cloud technologies</w:t>
      </w:r>
    </w:p>
    <w:p>
      <w:pPr>
        <w:pStyle w:val="ListBullet"/>
      </w:pPr>
      <w:r>
        <w:t>Project Management Certification - PMP training for 15 team members</w:t>
      </w:r>
    </w:p>
    <w:p>
      <w:pPr>
        <w:pStyle w:val="ListBullet"/>
      </w:pPr>
      <w:r>
        <w:t>Communication and Presentation Skills Workshop - All customer-facing roles</w:t>
      </w:r>
    </w:p>
    <w:p>
      <w:pPr>
        <w:pStyle w:val="Heading2"/>
      </w:pPr>
      <w:r>
        <w:t>Retention Initiatives</w:t>
      </w:r>
    </w:p>
    <w:p>
      <w:r>
        <w:t>To address the 18% turnover rate (industry average: 22%), HR will implement:</w:t>
      </w:r>
    </w:p>
    <w:p>
      <w:pPr>
        <w:pStyle w:val="ListBullet"/>
      </w:pPr>
      <w:r>
        <w:t>Flexible work arrangements - permanent hybrid model</w:t>
      </w:r>
    </w:p>
    <w:p>
      <w:pPr>
        <w:pStyle w:val="ListBullet"/>
      </w:pPr>
      <w:r>
        <w:t>Enhanced parental leave - 16 weeks paid leave</w:t>
      </w:r>
    </w:p>
    <w:p>
      <w:pPr>
        <w:pStyle w:val="ListBullet"/>
      </w:pPr>
      <w:r>
        <w:t>Mental health support - partnership with BetterHelp</w:t>
      </w:r>
    </w:p>
    <w:p>
      <w:pPr>
        <w:pStyle w:val="ListBullet"/>
      </w:pPr>
      <w:r>
        <w:t>Career development budgets - $2,000 per employee annually</w:t>
      </w:r>
    </w:p>
    <w:p>
      <w:pPr>
        <w:pStyle w:val="ListBullet"/>
      </w:pPr>
      <w:r>
        <w:t>Quarterly team building events and celebrations</w:t>
      </w:r>
    </w:p>
    <w:p/>
    <w:p>
      <w:pPr>
        <w:pStyle w:val="Heading1"/>
      </w:pPr>
      <w:r>
        <w:t>4. Financial Performance Review</w:t>
      </w:r>
    </w:p>
    <w:p>
      <w:r>
        <w:t>Michael Chen provided a detailed analysis of Q2 financial performance and Q3 projections. Revenue grew 28% YoY to $45.2M, exceeding targets by 8%. EBITDA margins improved to 22% from 19% in Q2 2023.</w:t>
      </w:r>
    </w:p>
    <w:p>
      <w:pPr>
        <w:pStyle w:val="Heading2"/>
      </w:pPr>
      <w:r>
        <w:t>Q3 2024 Financial Targets</w:t>
      </w:r>
    </w:p>
    <w:p>
      <w:pPr>
        <w:pStyle w:val="ListBullet"/>
      </w:pPr>
      <w:r>
        <w:t>Revenue: $52M (15% QoQ growth)</w:t>
      </w:r>
    </w:p>
    <w:p>
      <w:pPr>
        <w:pStyle w:val="ListBullet"/>
      </w:pPr>
      <w:r>
        <w:t>Gross Margin: 68%</w:t>
      </w:r>
    </w:p>
    <w:p>
      <w:pPr>
        <w:pStyle w:val="ListBullet"/>
      </w:pPr>
      <w:r>
        <w:t>EBITDA Margin: 24%</w:t>
      </w:r>
    </w:p>
    <w:p>
      <w:pPr>
        <w:pStyle w:val="ListBullet"/>
      </w:pPr>
      <w:r>
        <w:t>Customer Acquisition Cost (CAC): $1,200</w:t>
      </w:r>
    </w:p>
    <w:p>
      <w:pPr>
        <w:pStyle w:val="ListBullet"/>
      </w:pPr>
      <w:r>
        <w:t>Customer Lifetime Value (LTV): $15,000</w:t>
      </w:r>
    </w:p>
    <w:p>
      <w:pPr>
        <w:pStyle w:val="ListBullet"/>
      </w:pPr>
      <w:r>
        <w:t>Monthly Recurring Revenue (MRR): $4.3M</w:t>
      </w:r>
    </w:p>
    <w:p/>
    <w:p>
      <w:pPr>
        <w:pStyle w:val="Heading1"/>
      </w:pPr>
      <w:r>
        <w:t>5. Risk Assessment and Mitigation</w:t>
      </w:r>
    </w:p>
    <w:p>
      <w:r>
        <w:t>The leadership team identified and discussed key risks that could impact Q3 and Q4 performance:</w:t>
      </w:r>
    </w:p>
    <w:p>
      <w:pPr>
        <w:pStyle w:val="Heading2"/>
      </w:pPr>
      <w:r>
        <w:t>Critical Risks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Risk Category</w:t>
            </w:r>
          </w:p>
        </w:tc>
        <w:tc>
          <w:tcPr>
            <w:tcW w:type="dxa" w:w="2880"/>
          </w:tcPr>
          <w:p>
            <w:r>
              <w:t>Impact</w:t>
            </w:r>
          </w:p>
        </w:tc>
        <w:tc>
          <w:tcPr>
            <w:tcW w:type="dxa" w:w="2880"/>
          </w:tcPr>
          <w:p>
            <w:r>
              <w:t>Mitigation Strategy</w:t>
            </w:r>
          </w:p>
        </w:tc>
      </w:tr>
      <w:tr>
        <w:tc>
          <w:tcPr>
            <w:tcW w:type="dxa" w:w="2880"/>
          </w:tcPr>
          <w:p>
            <w:r>
              <w:t>Supply Chain Disruption</w:t>
            </w:r>
          </w:p>
        </w:tc>
        <w:tc>
          <w:tcPr>
            <w:tcW w:type="dxa" w:w="2880"/>
          </w:tcPr>
          <w:p>
            <w:r>
              <w:t>High</w:t>
            </w:r>
          </w:p>
        </w:tc>
        <w:tc>
          <w:tcPr>
            <w:tcW w:type="dxa" w:w="2880"/>
          </w:tcPr>
          <w:p>
            <w:r>
              <w:t>Diversify suppliers, increase inventory buffers</w:t>
            </w:r>
          </w:p>
        </w:tc>
      </w:tr>
      <w:tr>
        <w:tc>
          <w:tcPr>
            <w:tcW w:type="dxa" w:w="2880"/>
          </w:tcPr>
          <w:p>
            <w:r>
              <w:t>Talent Retention</w:t>
            </w:r>
          </w:p>
        </w:tc>
        <w:tc>
          <w:tcPr>
            <w:tcW w:type="dxa" w:w="2880"/>
          </w:tcPr>
          <w:p>
            <w:r>
              <w:t>Medium</w:t>
            </w:r>
          </w:p>
        </w:tc>
        <w:tc>
          <w:tcPr>
            <w:tcW w:type="dxa" w:w="2880"/>
          </w:tcPr>
          <w:p>
            <w:r>
              <w:t>Enhance compensation packages, improve culture</w:t>
            </w:r>
          </w:p>
        </w:tc>
      </w:tr>
      <w:tr>
        <w:tc>
          <w:tcPr>
            <w:tcW w:type="dxa" w:w="2880"/>
          </w:tcPr>
          <w:p>
            <w:r>
              <w:t>Cyber Security Threats</w:t>
            </w:r>
          </w:p>
        </w:tc>
        <w:tc>
          <w:tcPr>
            <w:tcW w:type="dxa" w:w="2880"/>
          </w:tcPr>
          <w:p>
            <w:r>
              <w:t>High</w:t>
            </w:r>
          </w:p>
        </w:tc>
        <w:tc>
          <w:tcPr>
            <w:tcW w:type="dxa" w:w="2880"/>
          </w:tcPr>
          <w:p>
            <w:r>
              <w:t>Implement zero-trust architecture, security training</w:t>
            </w:r>
          </w:p>
        </w:tc>
      </w:tr>
      <w:tr>
        <w:tc>
          <w:tcPr>
            <w:tcW w:type="dxa" w:w="2880"/>
          </w:tcPr>
          <w:p>
            <w:r>
              <w:t>Economic Downturn</w:t>
            </w:r>
          </w:p>
        </w:tc>
        <w:tc>
          <w:tcPr>
            <w:tcW w:type="dxa" w:w="2880"/>
          </w:tcPr>
          <w:p>
            <w:r>
              <w:t>Medium</w:t>
            </w:r>
          </w:p>
        </w:tc>
        <w:tc>
          <w:tcPr>
            <w:tcW w:type="dxa" w:w="2880"/>
          </w:tcPr>
          <w:p>
            <w:r>
              <w:t>Build cash reserves, focus on recurring revenue</w:t>
            </w:r>
          </w:p>
        </w:tc>
      </w:tr>
      <w:tr>
        <w:tc>
          <w:tcPr>
            <w:tcW w:type="dxa" w:w="2880"/>
          </w:tcPr>
          <w:p>
            <w:r>
              <w:t>Competitive Pressure</w:t>
            </w:r>
          </w:p>
        </w:tc>
        <w:tc>
          <w:tcPr>
            <w:tcW w:type="dxa" w:w="2880"/>
          </w:tcPr>
          <w:p>
            <w:r>
              <w:t>Medium</w:t>
            </w:r>
          </w:p>
        </w:tc>
        <w:tc>
          <w:tcPr>
            <w:tcW w:type="dxa" w:w="2880"/>
          </w:tcPr>
          <w:p>
            <w:r>
              <w:t>Accelerate innovation, improve customer success</w:t>
            </w:r>
          </w:p>
        </w:tc>
      </w:tr>
    </w:tbl>
    <w:p/>
    <w:p>
      <w:pPr>
        <w:pStyle w:val="Heading1"/>
      </w:pPr>
      <w:r>
        <w:t>Action Items and Next Steps</w:t>
      </w:r>
    </w:p>
    <w:p>
      <w:r>
        <w:t>The following action items were assigned with specific owners and deadlines:</w:t>
      </w:r>
    </w:p>
    <w:p/>
    <w:p>
      <w:pPr>
        <w:pStyle w:val="Heading2"/>
      </w:pPr>
      <w:r>
        <w:t>Assigned Actions</w:t>
      </w:r>
    </w:p>
    <w:p>
      <w:r>
        <w:t>• James Park: Develop detailed go-to-market strategy for Germany and Japan</w:t>
      </w:r>
    </w:p>
    <w:p>
      <w:r>
        <w:t xml:space="preserve">  Deadline: October 15, 2024</w:t>
      </w:r>
    </w:p>
    <w:p/>
    <w:p>
      <w:r>
        <w:t>• David Miller: Complete premium tier feature specifications</w:t>
      </w:r>
    </w:p>
    <w:p>
      <w:r>
        <w:t xml:space="preserve">  Deadline: October 8, 2024</w:t>
      </w:r>
    </w:p>
    <w:p/>
    <w:p>
      <w:r>
        <w:t>• Lisa Rodriguez: Implement top 3 automation processes</w:t>
      </w:r>
    </w:p>
    <w:p>
      <w:r>
        <w:t xml:space="preserve">  Deadline: November 1, 2024</w:t>
      </w:r>
    </w:p>
    <w:p/>
    <w:p>
      <w:r>
        <w:t>• Michael Chen: Renegotiate top 5 vendor contracts</w:t>
      </w:r>
    </w:p>
    <w:p>
      <w:r>
        <w:t xml:space="preserve">  Deadline: October 31, 2024</w:t>
      </w:r>
    </w:p>
    <w:p/>
    <w:p>
      <w:r>
        <w:t>• Jennifer Lee: Launch Leadership Development Program</w:t>
      </w:r>
    </w:p>
    <w:p>
      <w:r>
        <w:t xml:space="preserve">  Deadline: November 15, 2024</w:t>
      </w:r>
    </w:p>
    <w:p/>
    <w:p>
      <w:r>
        <w:t>• Emma Watson: Create international marketing campaign</w:t>
      </w:r>
    </w:p>
    <w:p>
      <w:r>
        <w:t xml:space="preserve">  Deadline: October 20, 2024</w:t>
      </w:r>
    </w:p>
    <w:p/>
    <w:p>
      <w:r>
        <w:t>• Robert Singh: Complete security audit and implement recommendations</w:t>
      </w:r>
    </w:p>
    <w:p>
      <w:r>
        <w:t xml:space="preserve">  Deadline: December 1, 2024</w:t>
      </w:r>
    </w:p>
    <w:p/>
    <w:p>
      <w:r>
        <w:t>• Sarah Johnson: Board presentation on Q3 results and Q4 strategy</w:t>
      </w:r>
    </w:p>
    <w:p>
      <w:r>
        <w:t xml:space="preserve">  Deadline: October 5, 2024</w:t>
      </w:r>
    </w:p>
    <w:p/>
    <w:p>
      <w:pPr>
        <w:pStyle w:val="Heading1"/>
      </w:pPr>
      <w:r>
        <w:t>Follow-up and Communication</w:t>
      </w:r>
    </w:p>
    <w:p>
      <w:r>
        <w:t>Weekly progress check-ins will be conducted every Monday at 9:00 AM. Department heads will provide status updates on their action items via the project management dashboard. A comprehensive review meeting is scheduled for November 30, 2024 to assess Q3 performance and finalize Q4 execution plans.</w:t>
      </w:r>
    </w:p>
    <w:p/>
    <w:p>
      <w:pPr>
        <w:pStyle w:val="Heading1"/>
      </w:pPr>
      <w:r>
        <w:t>Conclusion</w:t>
      </w:r>
    </w:p>
    <w:p>
      <w:r>
        <w:t>The Q3 2024 strategic planning meeting successfully aligned leadership on key priorities for the remainder of the year. With clear action items, measurable targets, and committed ownership, the team is well-positioned to achieve aggressive growth targets while improving operational efficiency and employee satisfaction. The focus on international expansion, premium product development, and talent retention will be critical for sustaining long-term competitive advantage.</w:t>
      </w:r>
    </w:p>
    <w:p/>
    <w:p>
      <w:r>
        <w:t>Document prepared by: Executive Assistant</w:t>
      </w:r>
    </w:p>
    <w:p>
      <w:r>
        <w:t>Date: 2025-08-27</w:t>
      </w:r>
    </w:p>
    <w:p>
      <w:r>
        <w:t>Distribution: Leadership Team, Board of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