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The</w:t>
      </w:r>
      <w:r>
        <w:rPr>
          <w:bCs/>
          <w:b/>
        </w:rPr>
        <w:t xml:space="preserve"> </w:t>
      </w:r>
      <w:r>
        <w:rPr>
          <w:bCs/>
          <w:b/>
        </w:rPr>
        <w:t xml:space="preserve">Causal</w:t>
      </w:r>
      <w:r>
        <w:rPr>
          <w:bCs/>
          <w:b/>
        </w:rPr>
        <w:t xml:space="preserve"> </w:t>
      </w:r>
      <w:r>
        <w:rPr>
          <w:bCs/>
          <w:b/>
        </w:rPr>
        <w:t xml:space="preserve">Geometry</w:t>
      </w:r>
      <w:r>
        <w:rPr>
          <w:bCs/>
          <w:b/>
        </w:rPr>
        <w:t xml:space="preserve"> </w:t>
      </w:r>
      <w:r>
        <w:rPr>
          <w:bCs/>
          <w:b/>
        </w:rPr>
        <w:t xml:space="preserve">of</w:t>
      </w:r>
      <w:r>
        <w:rPr>
          <w:bCs/>
          <w:b/>
        </w:rPr>
        <w:t xml:space="preserve"> </w:t>
      </w:r>
      <w:r>
        <w:rPr>
          <w:bCs/>
          <w:b/>
        </w:rPr>
        <w:t xml:space="preserve">Prediction</w:t>
      </w:r>
      <w:r>
        <w:rPr>
          <w:bCs/>
          <w:b/>
        </w:rPr>
        <w:t xml:space="preserve"> </w:t>
      </w:r>
      <w:r>
        <w:rPr>
          <w:bCs/>
          <w:b/>
        </w:rPr>
        <w:t xml:space="preserve">Errors</w:t>
      </w:r>
      <w:r>
        <w:rPr>
          <w:bCs/>
          <w:b/>
        </w:rPr>
        <w:t xml:space="preserve"> </w:t>
      </w:r>
      <w:r>
        <w:rPr>
          <w:bCs/>
          <w:b/>
        </w:rPr>
        <w:t xml:space="preserve">in</w:t>
      </w:r>
      <w:r>
        <w:rPr>
          <w:bCs/>
          <w:b/>
        </w:rPr>
        <w:t xml:space="preserve"> </w:t>
      </w:r>
      <w:r>
        <w:rPr>
          <w:bCs/>
          <w:b/>
        </w:rPr>
        <w:t xml:space="preserve">Interatomic</w:t>
      </w:r>
      <w:r>
        <w:rPr>
          <w:bCs/>
          <w:b/>
        </w:rPr>
        <w:t xml:space="preserve"> </w:t>
      </w:r>
      <w:r>
        <w:rPr>
          <w:bCs/>
          <w:b/>
        </w:rPr>
        <w:t xml:space="preserve">Potentials:</w:t>
      </w:r>
      <w:r>
        <w:rPr>
          <w:bCs/>
          <w:b/>
        </w:rPr>
        <w:t xml:space="preserve"> </w:t>
      </w:r>
      <w:r>
        <w:rPr>
          <w:bCs/>
          <w:b/>
        </w:rPr>
        <w:t xml:space="preserve">A</w:t>
      </w:r>
      <w:r>
        <w:rPr>
          <w:bCs/>
          <w:b/>
        </w:rPr>
        <w:t xml:space="preserve"> </w:t>
      </w:r>
      <w:r>
        <w:rPr>
          <w:bCs/>
          <w:b/>
        </w:rPr>
        <w:t xml:space="preserve">Hyper-Ribbon</w:t>
      </w:r>
      <w:r>
        <w:rPr>
          <w:bCs/>
          <w:b/>
        </w:rPr>
        <w:t xml:space="preserve"> </w:t>
      </w:r>
      <w:r>
        <w:rPr>
          <w:bCs/>
          <w:b/>
        </w:rPr>
        <w:t xml:space="preserve">Manifold</w:t>
      </w:r>
      <w:r>
        <w:rPr>
          <w:bCs/>
          <w:b/>
        </w:rPr>
        <w:t xml:space="preserve"> </w:t>
      </w:r>
      <w:r>
        <w:rPr>
          <w:bCs/>
          <w:b/>
        </w:rPr>
        <w:t xml:space="preserve">Analysis</w:t>
      </w:r>
      <w:r>
        <w:rPr>
          <w:bCs/>
          <w:b/>
        </w:rPr>
        <w:t xml:space="preserve"> </w:t>
      </w:r>
      <w:r>
        <w:rPr>
          <w:bCs/>
          <w:b/>
        </w:rPr>
        <w:t xml:space="preserve">with</w:t>
      </w:r>
      <w:r>
        <w:rPr>
          <w:bCs/>
          <w:b/>
        </w:rPr>
        <w:t xml:space="preserve"> </w:t>
      </w:r>
      <w:r>
        <w:rPr>
          <w:bCs/>
          <w:b/>
        </w:rPr>
        <w:t xml:space="preserve">Simpson’s</w:t>
      </w:r>
      <w:r>
        <w:rPr>
          <w:bCs/>
          <w:b/>
        </w:rPr>
        <w:t xml:space="preserve"> </w:t>
      </w:r>
      <w:r>
        <w:rPr>
          <w:bCs/>
          <w:b/>
        </w:rPr>
        <w:t xml:space="preserve">Paradox</w:t>
      </w:r>
      <w:r>
        <w:rPr>
          <w:bCs/>
          <w:b/>
        </w:rPr>
        <w:t xml:space="preserve"> </w:t>
      </w:r>
      <w:r>
        <w:rPr>
          <w:bCs/>
          <w:b/>
        </w:rPr>
        <w:t xml:space="preserve">Detection</w:t>
      </w:r>
    </w:p>
    <w:p>
      <w:pPr>
        <w:pStyle w:val="Author"/>
      </w:pPr>
      <w:r>
        <w:t xml:space="preserve">Alex</w:t>
      </w:r>
      <w:r>
        <w:t xml:space="preserve"> </w:t>
      </w:r>
      <w:r>
        <w:t xml:space="preserve">Welcing</w:t>
      </w:r>
      <w:r>
        <w:br/>
      </w:r>
      <w:r>
        <w:t xml:space="preserve">Lupine</w:t>
      </w:r>
      <w:r>
        <w:t xml:space="preserve"> </w:t>
      </w:r>
      <w:r>
        <w:t xml:space="preserve">Science</w:t>
      </w:r>
      <w:r>
        <w:br/>
      </w:r>
      <w:r>
        <w:rPr>
          <w:rStyle w:val="VerbatimChar"/>
        </w:rPr>
        <w:t xml:space="preserve">alex@lupine.io</w:t>
      </w:r>
    </w:p>
    <w:p>
      <w:pPr>
        <w:pStyle w:val="Abstract"/>
      </w:pPr>
      <w:r>
        <w:rPr>
          <w:bCs/>
          <w:b/>
        </w:rPr>
        <w:t xml:space="preserve">Purpose:</w:t>
      </w:r>
      <w:r>
        <w:t xml:space="preserve"> </w:t>
      </w:r>
      <w:r>
        <w:t xml:space="preserve">Classical</w:t>
      </w:r>
      <w:r>
        <w:t xml:space="preserve"> </w:t>
      </w:r>
      <w:r>
        <w:t xml:space="preserve">force</w:t>
      </w:r>
      <w:r>
        <w:t xml:space="preserve"> </w:t>
      </w:r>
      <w:r>
        <w:t xml:space="preserve">fields</w:t>
      </w:r>
      <w:r>
        <w:t xml:space="preserve"> </w:t>
      </w:r>
      <w:r>
        <w:t xml:space="preserve">for</w:t>
      </w:r>
      <w:r>
        <w:t xml:space="preserve"> </w:t>
      </w:r>
      <w:r>
        <w:t xml:space="preserve">metals</w:t>
      </w:r>
      <w:r>
        <w:t xml:space="preserve"> </w:t>
      </w:r>
      <w:r>
        <w:t xml:space="preserve">exhibit</w:t>
      </w:r>
      <w:r>
        <w:t xml:space="preserve"> </w:t>
      </w:r>
      <w:r>
        <w:t xml:space="preserve">structured,</w:t>
      </w:r>
      <w:r>
        <w:t xml:space="preserve"> </w:t>
      </w:r>
      <w:r>
        <w:t xml:space="preserve">low-dimensional</w:t>
      </w:r>
      <w:r>
        <w:t xml:space="preserve"> </w:t>
      </w:r>
      <w:r>
        <w:t xml:space="preserve">prediction</w:t>
      </w:r>
      <w:r>
        <w:t xml:space="preserve"> </w:t>
      </w:r>
      <w:r>
        <w:t xml:space="preserve">errors</w:t>
      </w:r>
      <w:r>
        <w:t xml:space="preserve"> </w:t>
      </w:r>
      <w:r>
        <w:t xml:space="preserve">that</w:t>
      </w:r>
      <w:r>
        <w:t xml:space="preserve"> </w:t>
      </w:r>
      <w:r>
        <w:t xml:space="preserve">can</w:t>
      </w:r>
      <w:r>
        <w:t xml:space="preserve"> </w:t>
      </w:r>
      <w:r>
        <w:t xml:space="preserve">be</w:t>
      </w:r>
      <w:r>
        <w:t xml:space="preserve"> </w:t>
      </w:r>
      <w:r>
        <w:t xml:space="preserve">understood</w:t>
      </w:r>
      <w:r>
        <w:t xml:space="preserve"> </w:t>
      </w:r>
      <w:r>
        <w:t xml:space="preserve">through</w:t>
      </w:r>
      <w:r>
        <w:t xml:space="preserve"> </w:t>
      </w:r>
      <w:r>
        <w:t xml:space="preserve">the</w:t>
      </w:r>
      <w:r>
        <w:t xml:space="preserve"> </w:t>
      </w:r>
      <w:r>
        <w:t xml:space="preserve">convergence</w:t>
      </w:r>
      <w:r>
        <w:t xml:space="preserve"> </w:t>
      </w:r>
      <w:r>
        <w:t xml:space="preserve">of</w:t>
      </w:r>
      <w:r>
        <w:t xml:space="preserve"> </w:t>
      </w:r>
      <w:r>
        <w:t xml:space="preserve">sloppy</w:t>
      </w:r>
      <w:r>
        <w:t xml:space="preserve"> </w:t>
      </w:r>
      <w:r>
        <w:t xml:space="preserve">model</w:t>
      </w:r>
      <w:r>
        <w:t xml:space="preserve"> </w:t>
      </w:r>
      <w:r>
        <w:t xml:space="preserve">theory,</w:t>
      </w:r>
      <w:r>
        <w:t xml:space="preserve"> </w:t>
      </w:r>
      <w:r>
        <w:t xml:space="preserve">causal</w:t>
      </w:r>
      <w:r>
        <w:t xml:space="preserve"> </w:t>
      </w:r>
      <w:r>
        <w:t xml:space="preserve">inference,</w:t>
      </w:r>
      <w:r>
        <w:t xml:space="preserve"> </w:t>
      </w:r>
      <w:r>
        <w:t xml:space="preserve">and</w:t>
      </w:r>
      <w:r>
        <w:t xml:space="preserve"> </w:t>
      </w:r>
      <w:r>
        <w:t xml:space="preserve">meta-analytic</w:t>
      </w:r>
      <w:r>
        <w:t xml:space="preserve"> </w:t>
      </w:r>
      <w:r>
        <w:t xml:space="preserve">methodology.</w:t>
      </w:r>
      <w:r>
        <w:t xml:space="preserve"> </w:t>
      </w:r>
      <w:r>
        <w:rPr>
          <w:bCs/>
          <w:b/>
        </w:rPr>
        <w:t xml:space="preserve">Methods:</w:t>
      </w:r>
      <w:r>
        <w:t xml:space="preserve"> </w:t>
      </w:r>
      <w:r>
        <w:t xml:space="preserve">We</w:t>
      </w:r>
      <w:r>
        <w:t xml:space="preserve"> </w:t>
      </w:r>
      <w:r>
        <w:t xml:space="preserve">analyzed</w:t>
      </w:r>
      <w:r>
        <w:t xml:space="preserve"> </w:t>
      </w:r>
      <w:r>
        <w:t xml:space="preserve">elastic</w:t>
      </w:r>
      <w:r>
        <w:t xml:space="preserve"> </w:t>
      </w:r>
      <w:r>
        <w:t xml:space="preserve">constant</w:t>
      </w:r>
      <w:r>
        <w:t xml:space="preserve"> </w:t>
      </w:r>
      <w:r>
        <w:t xml:space="preserve">prediction</w:t>
      </w:r>
      <w:r>
        <w:t xml:space="preserve"> </w:t>
      </w:r>
      <w:r>
        <w:t xml:space="preserve">errors</w:t>
      </w:r>
      <w:r>
        <w:t xml:space="preserve"> </w:t>
      </w:r>
      <w:r>
        <w:t xml:space="preserve">(</w:t>
      </w:r>
      <m:oMath>
        <m:sSub>
          <m:e>
            <m:r>
              <m:t>C</m:t>
            </m:r>
          </m:e>
          <m:sub>
            <m:r>
              <m:t>11</m:t>
            </m:r>
          </m:sub>
        </m:sSub>
      </m:oMath>
      <w:r>
        <w:t xml:space="preserve">,</w:t>
      </w:r>
      <w:r>
        <w:t xml:space="preserve"> </w:t>
      </w:r>
      <m:oMath>
        <m:sSub>
          <m:e>
            <m:r>
              <m:t>C</m:t>
            </m:r>
          </m:e>
          <m:sub>
            <m:r>
              <m:t>12</m:t>
            </m:r>
          </m:sub>
        </m:sSub>
      </m:oMath>
      <w:r>
        <w:t xml:space="preserve">,</w:t>
      </w:r>
      <w:r>
        <w:t xml:space="preserve"> </w:t>
      </w:r>
      <m:oMath>
        <m:sSub>
          <m:e>
            <m:r>
              <m:t>C</m:t>
            </m:r>
          </m:e>
          <m:sub>
            <m:r>
              <m:t>44</m:t>
            </m:r>
          </m:sub>
        </m:sSub>
      </m:oMath>
      <w:r>
        <w:t xml:space="preserve">)</w:t>
      </w:r>
      <w:r>
        <w:t xml:space="preserve"> </w:t>
      </w:r>
      <w:r>
        <w:t xml:space="preserve">for</w:t>
      </w:r>
      <w:r>
        <w:t xml:space="preserve"> </w:t>
      </w:r>
      <w:r>
        <w:t xml:space="preserve">15</w:t>
      </w:r>
      <w:r>
        <w:t xml:space="preserve"> </w:t>
      </w:r>
      <w:r>
        <w:t xml:space="preserve">benchmark</w:t>
      </w:r>
      <w:r>
        <w:t xml:space="preserve"> </w:t>
      </w:r>
      <w:r>
        <w:t xml:space="preserve">metals</w:t>
      </w:r>
      <w:r>
        <w:t xml:space="preserve"> </w:t>
      </w:r>
      <w:r>
        <w:t xml:space="preserve">(8</w:t>
      </w:r>
      <w:r>
        <w:t xml:space="preserve"> </w:t>
      </w:r>
      <w:r>
        <w:t xml:space="preserve">FCC,</w:t>
      </w:r>
      <w:r>
        <w:t xml:space="preserve"> </w:t>
      </w:r>
      <w:r>
        <w:t xml:space="preserve">7</w:t>
      </w:r>
      <w:r>
        <w:t xml:space="preserve"> </w:t>
      </w:r>
      <w:r>
        <w:t xml:space="preserve">BCC)</w:t>
      </w:r>
      <w:r>
        <w:t xml:space="preserve"> </w:t>
      </w:r>
      <w:r>
        <w:t xml:space="preserve">across</w:t>
      </w:r>
      <w:r>
        <w:t xml:space="preserve"> </w:t>
      </w:r>
      <w:r>
        <w:t xml:space="preserve">559</w:t>
      </w:r>
      <w:r>
        <w:t xml:space="preserve"> </w:t>
      </w:r>
      <w:r>
        <w:t xml:space="preserve">interatomic</w:t>
      </w:r>
      <w:r>
        <w:t xml:space="preserve"> </w:t>
      </w:r>
      <w:r>
        <w:t xml:space="preserve">potentials</w:t>
      </w:r>
      <w:r>
        <w:t xml:space="preserve"> </w:t>
      </w:r>
      <w:r>
        <w:t xml:space="preserve">spanning</w:t>
      </w:r>
      <w:r>
        <w:t xml:space="preserve"> </w:t>
      </w:r>
      <w:r>
        <w:t xml:space="preserve">13</w:t>
      </w:r>
      <w:r>
        <w:t xml:space="preserve"> </w:t>
      </w:r>
      <w:r>
        <w:t xml:space="preserve">pair_style</w:t>
      </w:r>
      <w:r>
        <w:t xml:space="preserve"> </w:t>
      </w:r>
      <w:r>
        <w:t xml:space="preserve">families,</w:t>
      </w:r>
      <w:r>
        <w:t xml:space="preserve"> </w:t>
      </w:r>
      <w:r>
        <w:t xml:space="preserve">using</w:t>
      </w:r>
      <w:r>
        <w:t xml:space="preserve"> </w:t>
      </w:r>
      <w:r>
        <w:t xml:space="preserve">principal</w:t>
      </w:r>
      <w:r>
        <w:t xml:space="preserve"> </w:t>
      </w:r>
      <w:r>
        <w:t xml:space="preserve">component</w:t>
      </w:r>
      <w:r>
        <w:t xml:space="preserve"> </w:t>
      </w:r>
      <w:r>
        <w:t xml:space="preserve">analysis,</w:t>
      </w:r>
      <w:r>
        <w:t xml:space="preserve"> </w:t>
      </w:r>
      <w:r>
        <w:t xml:space="preserve">bootstrap</w:t>
      </w:r>
      <w:r>
        <w:t xml:space="preserve"> </w:t>
      </w:r>
      <w:r>
        <w:t xml:space="preserve">uncertainty</w:t>
      </w:r>
      <w:r>
        <w:t xml:space="preserve"> </w:t>
      </w:r>
      <w:r>
        <w:t xml:space="preserve">quantification,</w:t>
      </w:r>
      <w:r>
        <w:t xml:space="preserve"> </w:t>
      </w:r>
      <w:r>
        <w:t xml:space="preserve">random-effects</w:t>
      </w:r>
      <w:r>
        <w:t xml:space="preserve"> </w:t>
      </w:r>
      <w:r>
        <w:t xml:space="preserve">meta-analysis,</w:t>
      </w:r>
      <w:r>
        <w:t xml:space="preserve"> </w:t>
      </w:r>
      <w:r>
        <w:t xml:space="preserve">and</w:t>
      </w:r>
      <w:r>
        <w:t xml:space="preserve"> </w:t>
      </w:r>
      <w:r>
        <w:t xml:space="preserve">ecological</w:t>
      </w:r>
      <w:r>
        <w:t xml:space="preserve"> </w:t>
      </w:r>
      <w:r>
        <w:t xml:space="preserve">fallacy</w:t>
      </w:r>
      <w:r>
        <w:t xml:space="preserve"> </w:t>
      </w:r>
      <w:r>
        <w:t xml:space="preserve">detection.</w:t>
      </w:r>
      <w:r>
        <w:t xml:space="preserve"> </w:t>
      </w:r>
      <w:r>
        <w:t xml:space="preserve">All</w:t>
      </w:r>
      <w:r>
        <w:t xml:space="preserve"> </w:t>
      </w:r>
      <w:r>
        <w:t xml:space="preserve">predictions</w:t>
      </w:r>
      <w:r>
        <w:t xml:space="preserve"> </w:t>
      </w:r>
      <w:r>
        <w:t xml:space="preserve">were</w:t>
      </w:r>
      <w:r>
        <w:t xml:space="preserve"> </w:t>
      </w:r>
      <w:r>
        <w:t xml:space="preserve">obtained</w:t>
      </w:r>
      <w:r>
        <w:t xml:space="preserve"> </w:t>
      </w:r>
      <w:r>
        <w:t xml:space="preserve">from</w:t>
      </w:r>
      <w:r>
        <w:t xml:space="preserve"> </w:t>
      </w:r>
      <w:r>
        <w:t xml:space="preserve">the</w:t>
      </w:r>
      <w:r>
        <w:t xml:space="preserve"> </w:t>
      </w:r>
      <w:r>
        <w:t xml:space="preserve">OpenKIM</w:t>
      </w:r>
      <w:r>
        <w:t xml:space="preserve"> </w:t>
      </w:r>
      <w:r>
        <w:t xml:space="preserve">repository</w:t>
      </w:r>
      <w:r>
        <w:t xml:space="preserve"> </w:t>
      </w:r>
      <w:r>
        <w:t xml:space="preserve">and</w:t>
      </w:r>
      <w:r>
        <w:t xml:space="preserve"> </w:t>
      </w:r>
      <w:r>
        <w:t xml:space="preserve">cross-referenced</w:t>
      </w:r>
      <w:r>
        <w:t xml:space="preserve"> </w:t>
      </w:r>
      <w:r>
        <w:t xml:space="preserve">against</w:t>
      </w:r>
      <w:r>
        <w:t xml:space="preserve"> </w:t>
      </w:r>
      <w:r>
        <w:t xml:space="preserve">the</w:t>
      </w:r>
      <w:r>
        <w:t xml:space="preserve"> </w:t>
      </w:r>
      <w:r>
        <w:t xml:space="preserve">NIST</w:t>
      </w:r>
      <w:r>
        <w:t xml:space="preserve"> </w:t>
      </w:r>
      <w:r>
        <w:t xml:space="preserve">Interatomic</w:t>
      </w:r>
      <w:r>
        <w:t xml:space="preserve"> </w:t>
      </w:r>
      <w:r>
        <w:t xml:space="preserve">Potentials</w:t>
      </w:r>
      <w:r>
        <w:t xml:space="preserve"> </w:t>
      </w:r>
      <w:r>
        <w:t xml:space="preserve">Repository.</w:t>
      </w:r>
      <w:r>
        <w:t xml:space="preserve"> </w:t>
      </w:r>
      <w:r>
        <w:rPr>
          <w:bCs/>
          <w:b/>
        </w:rPr>
        <w:t xml:space="preserve">Results:</w:t>
      </w:r>
      <w:r>
        <w:t xml:space="preserve"> </w:t>
      </w:r>
      <w:r>
        <w:t xml:space="preserve">Prediction</w:t>
      </w:r>
      <w:r>
        <w:t xml:space="preserve"> </w:t>
      </w:r>
      <w:r>
        <w:t xml:space="preserve">errors</w:t>
      </w:r>
      <w:r>
        <w:t xml:space="preserve"> </w:t>
      </w:r>
      <w:r>
        <w:t xml:space="preserve">universally</w:t>
      </w:r>
      <w:r>
        <w:t xml:space="preserve"> </w:t>
      </w:r>
      <w:r>
        <w:t xml:space="preserve">occupy</w:t>
      </w:r>
      <w:r>
        <w:t xml:space="preserve"> </w:t>
      </w:r>
      <w:r>
        <w:t xml:space="preserve">hyper-ribbon</w:t>
      </w:r>
      <w:r>
        <w:t xml:space="preserve"> </w:t>
      </w:r>
      <w:r>
        <w:t xml:space="preserve">manifolds</w:t>
      </w:r>
      <w:r>
        <w:t xml:space="preserve"> </w:t>
      </w:r>
      <w:r>
        <w:t xml:space="preserve">with</w:t>
      </w:r>
      <w:r>
        <w:t xml:space="preserve"> </w:t>
      </w:r>
      <w:r>
        <w:t xml:space="preserve">effective</w:t>
      </w:r>
      <w:r>
        <w:t xml:space="preserve"> </w:t>
      </w:r>
      <w:r>
        <w:t xml:space="preserve">dimensionality</w:t>
      </w:r>
      <w:r>
        <w:t xml:space="preserve"> </w:t>
      </w:r>
      <m:oMath>
        <m:r>
          <m:t>1.05</m:t>
        </m:r>
      </m:oMath>
      <w:r>
        <w:t xml:space="preserve">–</w:t>
      </w:r>
      <m:oMath>
        <m:r>
          <m:t>1.86</m:t>
        </m:r>
      </m:oMath>
      <w:r>
        <w:t xml:space="preserve"> </w:t>
      </w:r>
      <w:r>
        <w:t xml:space="preserve">out</w:t>
      </w:r>
      <w:r>
        <w:t xml:space="preserve"> </w:t>
      </w:r>
      <w:r>
        <w:t xml:space="preserve">of</w:t>
      </w:r>
      <w:r>
        <w:t xml:space="preserve"> </w:t>
      </w:r>
      <w:r>
        <w:t xml:space="preserve">3,</w:t>
      </w:r>
      <w:r>
        <w:t xml:space="preserve"> </w:t>
      </w:r>
      <w:r>
        <w:t xml:space="preserve">consistent</w:t>
      </w:r>
      <w:r>
        <w:t xml:space="preserve"> </w:t>
      </w:r>
      <w:r>
        <w:t xml:space="preserve">with</w:t>
      </w:r>
      <w:r>
        <w:t xml:space="preserve"> </w:t>
      </w:r>
      <w:r>
        <w:t xml:space="preserve">the</w:t>
      </w:r>
      <w:r>
        <w:t xml:space="preserve"> </w:t>
      </w:r>
      <w:r>
        <w:t xml:space="preserve">sloppy</w:t>
      </w:r>
      <w:r>
        <w:t xml:space="preserve"> </w:t>
      </w:r>
      <w:r>
        <w:t xml:space="preserve">model</w:t>
      </w:r>
      <w:r>
        <w:t xml:space="preserve"> </w:t>
      </w:r>
      <w:r>
        <w:t xml:space="preserve">universality</w:t>
      </w:r>
      <w:r>
        <w:t xml:space="preserve"> </w:t>
      </w:r>
      <w:r>
        <w:t xml:space="preserve">class.</w:t>
      </w:r>
      <w:r>
        <w:t xml:space="preserve"> </w:t>
      </w:r>
      <w:r>
        <w:t xml:space="preserve">An</w:t>
      </w:r>
      <w:r>
        <w:t xml:space="preserve"> </w:t>
      </w:r>
      <w:r>
        <w:t xml:space="preserve">empirical</w:t>
      </w:r>
      <w:r>
        <w:t xml:space="preserve"> </w:t>
      </w:r>
      <w:r>
        <w:t xml:space="preserve">extension</w:t>
      </w:r>
      <w:r>
        <w:t xml:space="preserve"> </w:t>
      </w:r>
      <w:r>
        <w:t xml:space="preserve">of</w:t>
      </w:r>
      <w:r>
        <w:t xml:space="preserve"> </w:t>
      </w:r>
      <w:r>
        <w:t xml:space="preserve">the</w:t>
      </w:r>
      <w:r>
        <w:t xml:space="preserve"> </w:t>
      </w:r>
      <w:r>
        <w:t xml:space="preserve">analysis</w:t>
      </w:r>
      <w:r>
        <w:t xml:space="preserve"> </w:t>
      </w:r>
      <w:r>
        <w:t xml:space="preserve">to</w:t>
      </w:r>
      <w:r>
        <w:t xml:space="preserve"> </w:t>
      </w:r>
      <w:r>
        <w:t xml:space="preserve">three</w:t>
      </w:r>
      <w:r>
        <w:t xml:space="preserve"> </w:t>
      </w:r>
      <w:r>
        <w:t xml:space="preserve">foundation</w:t>
      </w:r>
      <w:r>
        <w:t xml:space="preserve"> </w:t>
      </w:r>
      <w:r>
        <w:t xml:space="preserve">machine-learning</w:t>
      </w:r>
      <w:r>
        <w:t xml:space="preserve"> </w:t>
      </w:r>
      <w:r>
        <w:t xml:space="preserve">interatomic</w:t>
      </w:r>
      <w:r>
        <w:t xml:space="preserve"> </w:t>
      </w:r>
      <w:r>
        <w:t xml:space="preserve">potentials</w:t>
      </w:r>
      <w:r>
        <w:t xml:space="preserve"> </w:t>
      </w:r>
      <w:r>
        <w:t xml:space="preserve">(MACE-MP-0,</w:t>
      </w:r>
      <w:r>
        <w:t xml:space="preserve"> </w:t>
      </w:r>
      <w:r>
        <w:t xml:space="preserve">CHGNet,</w:t>
      </w:r>
      <w:r>
        <w:t xml:space="preserve"> </w:t>
      </w:r>
      <w:r>
        <w:t xml:space="preserve">Orb-v3)</w:t>
      </w:r>
      <w:r>
        <w:t xml:space="preserve"> </w:t>
      </w:r>
      <w:r>
        <w:t xml:space="preserve">confirms</w:t>
      </w:r>
      <w:r>
        <w:t xml:space="preserve"> </w:t>
      </w:r>
      <w:r>
        <w:t xml:space="preserve">that</w:t>
      </w:r>
      <w:r>
        <w:t xml:space="preserve"> </w:t>
      </w:r>
      <w:r>
        <w:t xml:space="preserve">14</w:t>
      </w:r>
      <w:r>
        <w:t xml:space="preserve"> </w:t>
      </w:r>
      <w:r>
        <w:t xml:space="preserve">of</w:t>
      </w:r>
      <w:r>
        <w:t xml:space="preserve"> </w:t>
      </w:r>
      <w:r>
        <w:t xml:space="preserve">15</w:t>
      </w:r>
      <w:r>
        <w:t xml:space="preserve"> </w:t>
      </w:r>
      <w:r>
        <w:t xml:space="preserve">elements</w:t>
      </w:r>
      <w:r>
        <w:t xml:space="preserve"> </w:t>
      </w:r>
      <w:r>
        <w:t xml:space="preserve">retain</w:t>
      </w:r>
      <w:r>
        <w:t xml:space="preserve"> </w:t>
      </w:r>
      <w:r>
        <w:t xml:space="preserve">participation</w:t>
      </w:r>
      <w:r>
        <w:t xml:space="preserve"> </w:t>
      </w:r>
      <w:r>
        <w:t xml:space="preserve">ratio</w:t>
      </w:r>
      <w:r>
        <w:t xml:space="preserve"> </w:t>
      </w:r>
      <m:oMath>
        <m:r>
          <m:rPr>
            <m:sty m:val="p"/>
          </m:rPr>
          <m:t>&lt;</m:t>
        </m:r>
        <m:r>
          <m:t>2.0</m:t>
        </m:r>
      </m:oMath>
      <w:r>
        <w:t xml:space="preserve"> </w:t>
      </w:r>
      <w:r>
        <w:t xml:space="preserve">when</w:t>
      </w:r>
      <w:r>
        <w:t xml:space="preserve"> </w:t>
      </w:r>
      <w:r>
        <w:t xml:space="preserve">foundation</w:t>
      </w:r>
      <w:r>
        <w:t xml:space="preserve"> </w:t>
      </w:r>
      <w:r>
        <w:t xml:space="preserve">MLIPs</w:t>
      </w:r>
      <w:r>
        <w:t xml:space="preserve"> </w:t>
      </w:r>
      <w:r>
        <w:t xml:space="preserve">are</w:t>
      </w:r>
      <w:r>
        <w:t xml:space="preserve"> </w:t>
      </w:r>
      <w:r>
        <w:t xml:space="preserve">added</w:t>
      </w:r>
      <w:r>
        <w:t xml:space="preserve"> </w:t>
      </w:r>
      <w:r>
        <w:t xml:space="preserve">to</w:t>
      </w:r>
      <w:r>
        <w:t xml:space="preserve"> </w:t>
      </w:r>
      <w:r>
        <w:t xml:space="preserve">the</w:t>
      </w:r>
      <w:r>
        <w:t xml:space="preserve"> </w:t>
      </w:r>
      <w:r>
        <w:t xml:space="preserve">per-element</w:t>
      </w:r>
      <w:r>
        <w:t xml:space="preserve"> </w:t>
      </w:r>
      <w:r>
        <w:t xml:space="preserve">ensembles,</w:t>
      </w:r>
      <w:r>
        <w:t xml:space="preserve"> </w:t>
      </w:r>
      <w:r>
        <w:t xml:space="preserve">with</w:t>
      </w:r>
      <w:r>
        <w:t xml:space="preserve"> </w:t>
      </w:r>
      <w:r>
        <w:t xml:space="preserve">Fe</w:t>
      </w:r>
      <w:r>
        <w:t xml:space="preserve"> </w:t>
      </w:r>
      <w:r>
        <w:t xml:space="preserve">persisting</w:t>
      </w:r>
      <w:r>
        <w:t xml:space="preserve"> </w:t>
      </w:r>
      <w:r>
        <w:t xml:space="preserve">as</w:t>
      </w:r>
      <w:r>
        <w:t xml:space="preserve"> </w:t>
      </w:r>
      <w:r>
        <w:t xml:space="preserve">the</w:t>
      </w:r>
      <w:r>
        <w:t xml:space="preserve"> </w:t>
      </w:r>
      <w:r>
        <w:t xml:space="preserve">lone</w:t>
      </w:r>
      <w:r>
        <w:t xml:space="preserve"> </w:t>
      </w:r>
      <w:r>
        <w:t xml:space="preserve">outlier</w:t>
      </w:r>
      <w:r>
        <w:t xml:space="preserve"> </w:t>
      </w:r>
      <w:r>
        <w:t xml:space="preserve">across</w:t>
      </w:r>
      <w:r>
        <w:t xml:space="preserve"> </w:t>
      </w:r>
      <w:r>
        <w:t xml:space="preserve">all</w:t>
      </w:r>
      <w:r>
        <w:t xml:space="preserve"> </w:t>
      </w:r>
      <w:r>
        <w:t xml:space="preserve">interventions—supporting</w:t>
      </w:r>
      <w:r>
        <w:t xml:space="preserve"> </w:t>
      </w:r>
      <w:r>
        <w:t xml:space="preserve">hyper-ribbon</w:t>
      </w:r>
      <w:r>
        <w:t xml:space="preserve"> </w:t>
      </w:r>
      <w:r>
        <w:t xml:space="preserve">universality</w:t>
      </w:r>
      <w:r>
        <w:t xml:space="preserve"> </w:t>
      </w:r>
      <w:r>
        <w:t xml:space="preserve">across</w:t>
      </w:r>
      <w:r>
        <w:t xml:space="preserve"> </w:t>
      </w:r>
      <w:r>
        <w:t xml:space="preserve">both</w:t>
      </w:r>
      <w:r>
        <w:t xml:space="preserve"> </w:t>
      </w:r>
      <w:r>
        <w:t xml:space="preserve">classical</w:t>
      </w:r>
      <w:r>
        <w:t xml:space="preserve"> </w:t>
      </w:r>
      <w:r>
        <w:t xml:space="preserve">and</w:t>
      </w:r>
      <w:r>
        <w:t xml:space="preserve"> </w:t>
      </w:r>
      <w:r>
        <w:t xml:space="preserve">foundation-MLIP</w:t>
      </w:r>
      <w:r>
        <w:t xml:space="preserve"> </w:t>
      </w:r>
      <w:r>
        <w:t xml:space="preserve">modeling</w:t>
      </w:r>
      <w:r>
        <w:t xml:space="preserve"> </w:t>
      </w:r>
      <w:r>
        <w:t xml:space="preserve">paradigms.</w:t>
      </w:r>
      <w:r>
        <w:t xml:space="preserve"> </w:t>
      </w:r>
      <w:r>
        <w:t xml:space="preserve">A</w:t>
      </w:r>
      <w:r>
        <w:t xml:space="preserve"> </w:t>
      </w:r>
      <w:r>
        <w:t xml:space="preserve">striking</w:t>
      </w:r>
      <w:r>
        <w:t xml:space="preserve"> </w:t>
      </w:r>
      <w:r>
        <w:t xml:space="preserve">crystal-structure</w:t>
      </w:r>
      <w:r>
        <w:t xml:space="preserve"> </w:t>
      </w:r>
      <w:r>
        <w:t xml:space="preserve">dichotomy</w:t>
      </w:r>
      <w:r>
        <w:t xml:space="preserve"> </w:t>
      </w:r>
      <w:r>
        <w:t xml:space="preserve">emerges:</w:t>
      </w:r>
      <w:r>
        <w:t xml:space="preserve"> </w:t>
      </w:r>
      <w:r>
        <w:t xml:space="preserve">all</w:t>
      </w:r>
      <w:r>
        <w:t xml:space="preserve"> </w:t>
      </w:r>
      <w:r>
        <w:t xml:space="preserve">7</w:t>
      </w:r>
      <w:r>
        <w:t xml:space="preserve"> </w:t>
      </w:r>
      <w:r>
        <w:t xml:space="preserve">BCC</w:t>
      </w:r>
      <w:r>
        <w:t xml:space="preserve"> </w:t>
      </w:r>
      <w:r>
        <w:t xml:space="preserve">metals</w:t>
      </w:r>
      <w:r>
        <w:t xml:space="preserve"> </w:t>
      </w:r>
      <w:r>
        <w:t xml:space="preserve">show</w:t>
      </w:r>
      <w:r>
        <w:t xml:space="preserve"> </w:t>
      </w:r>
      <w:r>
        <w:t xml:space="preserve">reference–prediction</w:t>
      </w:r>
      <w:r>
        <w:t xml:space="preserve"> </w:t>
      </w:r>
      <w:r>
        <w:t xml:space="preserve">correlations</w:t>
      </w:r>
      <w:r>
        <w:t xml:space="preserve"> </w:t>
      </w:r>
      <m:oMath>
        <m:r>
          <m:t>r</m:t>
        </m:r>
        <m:r>
          <m:rPr>
            <m:sty m:val="p"/>
          </m:rPr>
          <m:t>&gt;</m:t>
        </m:r>
        <m:r>
          <m:t>0.70</m:t>
        </m:r>
      </m:oMath>
      <w:r>
        <w:t xml:space="preserve"> </w:t>
      </w:r>
      <w:r>
        <w:t xml:space="preserve">(mean</w:t>
      </w:r>
      <w:r>
        <w:t xml:space="preserve"> </w:t>
      </w:r>
      <m:oMath>
        <m:r>
          <m:t>r</m:t>
        </m:r>
        <m:r>
          <m:rPr>
            <m:sty m:val="p"/>
          </m:rPr>
          <m:t>=</m:t>
        </m:r>
        <m:r>
          <m:t>0.89</m:t>
        </m:r>
      </m:oMath>
      <w:r>
        <w:t xml:space="preserve">),</w:t>
      </w:r>
      <w:r>
        <w:t xml:space="preserve"> </w:t>
      </w:r>
      <w:r>
        <w:t xml:space="preserve">while</w:t>
      </w:r>
      <w:r>
        <w:t xml:space="preserve"> </w:t>
      </w:r>
      <w:r>
        <w:t xml:space="preserve">7</w:t>
      </w:r>
      <w:r>
        <w:t xml:space="preserve"> </w:t>
      </w:r>
      <w:r>
        <w:t xml:space="preserve">of</w:t>
      </w:r>
      <w:r>
        <w:t xml:space="preserve"> </w:t>
      </w:r>
      <w:r>
        <w:t xml:space="preserve">8</w:t>
      </w:r>
      <w:r>
        <w:t xml:space="preserve"> </w:t>
      </w:r>
      <w:r>
        <w:t xml:space="preserve">FCC</w:t>
      </w:r>
      <w:r>
        <w:t xml:space="preserve"> </w:t>
      </w:r>
      <w:r>
        <w:t xml:space="preserve">metals</w:t>
      </w:r>
      <w:r>
        <w:t xml:space="preserve"> </w:t>
      </w:r>
      <w:r>
        <w:t xml:space="preserve">show</w:t>
      </w:r>
      <w:r>
        <w:t xml:space="preserve"> </w:t>
      </w:r>
      <m:oMath>
        <m:r>
          <m:t>r</m:t>
        </m:r>
        <m:r>
          <m:rPr>
            <m:sty m:val="p"/>
          </m:rPr>
          <m:t>&lt;</m:t>
        </m:r>
        <m:r>
          <m:t>0.40</m:t>
        </m:r>
      </m:oMath>
      <w:r>
        <w:t xml:space="preserve"> </w:t>
      </w:r>
      <w:r>
        <w:t xml:space="preserve">(mean</w:t>
      </w:r>
      <w:r>
        <w:t xml:space="preserve"> </w:t>
      </w:r>
      <m:oMath>
        <m:r>
          <m:t>r</m:t>
        </m:r>
        <m:r>
          <m:rPr>
            <m:sty m:val="p"/>
          </m:rPr>
          <m:t>=</m:t>
        </m:r>
        <m:r>
          <m:t>0.16</m:t>
        </m:r>
      </m:oMath>
      <w:r>
        <w:t xml:space="preserve">).</w:t>
      </w:r>
      <w:r>
        <w:t xml:space="preserve"> </w:t>
      </w:r>
      <w:r>
        <w:t xml:space="preserve">Meta-analysis</w:t>
      </w:r>
      <w:r>
        <w:t xml:space="preserve"> </w:t>
      </w:r>
      <w:r>
        <w:t xml:space="preserve">across</w:t>
      </w:r>
      <w:r>
        <w:t xml:space="preserve"> </w:t>
      </w:r>
      <w:r>
        <w:t xml:space="preserve">15</w:t>
      </w:r>
      <w:r>
        <w:t xml:space="preserve"> </w:t>
      </w:r>
      <w:r>
        <w:t xml:space="preserve">elements</w:t>
      </w:r>
      <w:r>
        <w:t xml:space="preserve"> </w:t>
      </w:r>
      <w:r>
        <w:t xml:space="preserve">(</w:t>
      </w:r>
      <m:oMath>
        <m:r>
          <m:t>N</m:t>
        </m:r>
        <m:r>
          <m:rPr>
            <m:sty m:val="p"/>
          </m:rPr>
          <m:t>=</m:t>
        </m:r>
        <m:r>
          <m:t>1</m:t>
        </m:r>
        <m:r>
          <m:rPr>
            <m:sty m:val="p"/>
          </m:rPr>
          <m:t>,</m:t>
        </m:r>
        <m:r>
          <m:t>677</m:t>
        </m:r>
      </m:oMath>
      <w:r>
        <w:t xml:space="preserve">)</w:t>
      </w:r>
      <w:r>
        <w:t xml:space="preserve"> </w:t>
      </w:r>
      <w:r>
        <w:t xml:space="preserve">reveals</w:t>
      </w:r>
      <w:r>
        <w:t xml:space="preserve"> </w:t>
      </w:r>
      <w:r>
        <w:t xml:space="preserve">extreme</w:t>
      </w:r>
      <w:r>
        <w:t xml:space="preserve"> </w:t>
      </w:r>
      <w:r>
        <w:t xml:space="preserve">heterogeneity</w:t>
      </w:r>
      <w:r>
        <w:t xml:space="preserve"> </w:t>
      </w:r>
      <w:r>
        <w:t xml:space="preserve">(</w:t>
      </w:r>
      <m:oMath>
        <m:sSup>
          <m:e>
            <m:r>
              <m:t>I</m:t>
            </m:r>
          </m:e>
          <m:sup>
            <m:r>
              <m:t>2</m:t>
            </m:r>
          </m:sup>
        </m:sSup>
        <m:r>
          <m:rPr>
            <m:sty m:val="p"/>
          </m:rPr>
          <m:t>=</m:t>
        </m:r>
        <m:r>
          <m:t>98.6</m:t>
        </m:r>
        <m:r>
          <m:rPr>
            <m:sty m:val="p"/>
          </m:rPr>
          <m:t>%</m:t>
        </m:r>
      </m:oMath>
      <w:r>
        <w:t xml:space="preserve">,</w:t>
      </w:r>
      <w:r>
        <w:t xml:space="preserve"> </w:t>
      </w:r>
      <m:oMath>
        <m:r>
          <m:t>τ</m:t>
        </m:r>
        <m:r>
          <m:rPr>
            <m:sty m:val="p"/>
          </m:rPr>
          <m:t>=</m:t>
        </m:r>
        <m:r>
          <m:t>0.80</m:t>
        </m:r>
      </m:oMath>
      <w:r>
        <w:t xml:space="preserve">),</w:t>
      </w:r>
      <w:r>
        <w:t xml:space="preserve"> </w:t>
      </w:r>
      <w:r>
        <w:t xml:space="preserve">with</w:t>
      </w:r>
      <w:r>
        <w:t xml:space="preserve"> </w:t>
      </w:r>
      <w:r>
        <w:t xml:space="preserve">a</w:t>
      </w:r>
      <w:r>
        <w:t xml:space="preserve"> </w:t>
      </w:r>
      <w:r>
        <w:t xml:space="preserve">95%</w:t>
      </w:r>
      <w:r>
        <w:t xml:space="preserve"> </w:t>
      </w:r>
      <w:r>
        <w:t xml:space="preserve">prediction</w:t>
      </w:r>
      <w:r>
        <w:t xml:space="preserve"> </w:t>
      </w:r>
      <w:r>
        <w:t xml:space="preserve">interval</w:t>
      </w:r>
      <w:r>
        <w:t xml:space="preserve"> </w:t>
      </w:r>
      <w:r>
        <w:t xml:space="preserve">spanning</w:t>
      </w:r>
      <w:r>
        <w:t xml:space="preserve"> </w:t>
      </w:r>
      <m:oMath>
        <m:d>
          <m:dPr>
            <m:begChr m:val="["/>
            <m:endChr m:val="]"/>
            <m:sepChr m:val=""/>
            <m:grow/>
          </m:dPr>
          <m:e>
            <m:r>
              <m:rPr>
                <m:sty m:val="p"/>
              </m:rPr>
              <m:t>−</m:t>
            </m:r>
            <m:r>
              <m:t>0.64</m:t>
            </m:r>
            <m:r>
              <m:rPr>
                <m:sty m:val="p"/>
              </m:rPr>
              <m:t>,</m:t>
            </m:r>
            <m:r>
              <m:rPr>
                <m:sty m:val="p"/>
              </m:rPr>
              <m:t>+</m:t>
            </m:r>
            <m:r>
              <m:t>0.99</m:t>
            </m:r>
          </m:e>
        </m:d>
      </m:oMath>
      <w:r>
        <w:t xml:space="preserve">.</w:t>
      </w:r>
      <w:r>
        <w:t xml:space="preserve"> </w:t>
      </w:r>
      <w:r>
        <w:t xml:space="preserve">A</w:t>
      </w:r>
      <w:r>
        <w:t xml:space="preserve"> </w:t>
      </w:r>
      <w:r>
        <w:t xml:space="preserve">direct</w:t>
      </w:r>
      <w:r>
        <w:t xml:space="preserve"> </w:t>
      </w:r>
      <w:r>
        <w:t xml:space="preserve">test</w:t>
      </w:r>
      <w:r>
        <w:t xml:space="preserve"> </w:t>
      </w:r>
      <w:r>
        <w:t xml:space="preserve">of</w:t>
      </w:r>
      <w:r>
        <w:t xml:space="preserve"> </w:t>
      </w:r>
      <w:r>
        <w:t xml:space="preserve">cross-style</w:t>
      </w:r>
      <w:r>
        <w:t xml:space="preserve"> </w:t>
      </w:r>
      <w:r>
        <w:t xml:space="preserve">PC1</w:t>
      </w:r>
      <w:r>
        <w:t xml:space="preserve"> </w:t>
      </w:r>
      <w:r>
        <w:t xml:space="preserve">alignment</w:t>
      </w:r>
      <w:r>
        <w:t xml:space="preserve"> </w:t>
      </w:r>
      <w:r>
        <w:t xml:space="preserve">finds</w:t>
      </w:r>
      <w:r>
        <w:t xml:space="preserve"> </w:t>
      </w:r>
      <w:r>
        <w:t xml:space="preserve">that</w:t>
      </w:r>
      <w:r>
        <w:t xml:space="preserve"> </w:t>
      </w:r>
      <w:r>
        <w:t xml:space="preserve">the</w:t>
      </w:r>
      <w:r>
        <w:t xml:space="preserve"> </w:t>
      </w:r>
      <w:r>
        <w:t xml:space="preserve">apparent</w:t>
      </w:r>
      <w:r>
        <w:t xml:space="preserve"> </w:t>
      </w:r>
      <w:r>
        <w:t xml:space="preserve">per-element</w:t>
      </w:r>
      <w:r>
        <w:t xml:space="preserve"> </w:t>
      </w:r>
      <w:r>
        <w:t xml:space="preserve">dichotomy</w:t>
      </w:r>
      <w:r>
        <w:t xml:space="preserve"> </w:t>
      </w:r>
      <w:r>
        <w:t xml:space="preserve">is</w:t>
      </w:r>
      <w:r>
        <w:t xml:space="preserve"> </w:t>
      </w:r>
      <w:r>
        <w:t xml:space="preserve">dominated</w:t>
      </w:r>
      <w:r>
        <w:t xml:space="preserve"> </w:t>
      </w:r>
      <w:r>
        <w:t xml:space="preserve">by</w:t>
      </w:r>
      <w:r>
        <w:t xml:space="preserve"> </w:t>
      </w:r>
      <w:r>
        <w:t xml:space="preserve">a</w:t>
      </w:r>
      <w:r>
        <w:t xml:space="preserve"> </w:t>
      </w:r>
      <w:r>
        <w:t xml:space="preserve">sample-size</w:t>
      </w:r>
      <w:r>
        <w:t xml:space="preserve"> </w:t>
      </w:r>
      <w:r>
        <w:t xml:space="preserve">confounder</w:t>
      </w:r>
      <w:r>
        <w:t xml:space="preserve"> </w:t>
      </w:r>
      <w:r>
        <w:t xml:space="preserve">(Spearman</w:t>
      </w:r>
      <w:r>
        <w:t xml:space="preserve"> </w:t>
      </w:r>
      <m:oMath>
        <m:r>
          <m:t>ρ</m:t>
        </m:r>
        <m:d>
          <m:dPr>
            <m:begChr m:val="("/>
            <m:endChr m:val=")"/>
            <m:sepChr m:val=""/>
            <m:grow/>
          </m:dPr>
          <m:e>
            <m:sSub>
              <m:e>
                <m:r>
                  <m:t>n</m:t>
                </m:r>
              </m:e>
              <m:sub>
                <m:r>
                  <m:rPr>
                    <m:nor/>
                    <m:sty m:val="p"/>
                  </m:rPr>
                  <m:t>pairs</m:t>
                </m:r>
              </m:sub>
            </m:sSub>
            <m:r>
              <m:rPr>
                <m:sty m:val="p"/>
              </m:rPr>
              <m:t>,</m:t>
            </m:r>
            <m:bar>
              <m:barPr>
                <m:pos m:val="top"/>
              </m:barPr>
              <m:e>
                <m:r>
                  <m:rPr>
                    <m:sty m:val="p"/>
                  </m:rPr>
                  <m:t>cos</m:t>
                </m:r>
              </m:e>
            </m:bar>
          </m:e>
        </m:d>
        <m:r>
          <m:rPr>
            <m:sty m:val="p"/>
          </m:rPr>
          <m:t>=</m:t>
        </m:r>
        <m:r>
          <m:rPr>
            <m:sty m:val="p"/>
          </m:rPr>
          <m:t>−</m:t>
        </m:r>
        <m:r>
          <m:t>0.50</m:t>
        </m:r>
      </m:oMath>
      <w:r>
        <w:t xml:space="preserve">,</w:t>
      </w:r>
      <w:r>
        <w:t xml:space="preserve"> </w:t>
      </w:r>
      <m:oMath>
        <m:r>
          <m:t>p</m:t>
        </m:r>
        <m:r>
          <m:rPr>
            <m:sty m:val="p"/>
          </m:rPr>
          <m:t>=</m:t>
        </m:r>
        <m:r>
          <m:t>0.06</m:t>
        </m:r>
      </m:oMath>
      <w:r>
        <w:t xml:space="preserve">)</w:t>
      </w:r>
      <w:r>
        <w:t xml:space="preserve"> </w:t>
      </w:r>
      <w:r>
        <w:t xml:space="preserve">rather</w:t>
      </w:r>
      <w:r>
        <w:t xml:space="preserve"> </w:t>
      </w:r>
      <w:r>
        <w:t xml:space="preserve">than</w:t>
      </w:r>
      <w:r>
        <w:t xml:space="preserve"> </w:t>
      </w:r>
      <m:oMath>
        <m:r>
          <m:t>d</m:t>
        </m:r>
      </m:oMath>
      <w:r>
        <w:t xml:space="preserve">-band</w:t>
      </w:r>
      <w:r>
        <w:t xml:space="preserve"> </w:t>
      </w:r>
      <w:r>
        <w:t xml:space="preserve">fullness,</w:t>
      </w:r>
      <w:r>
        <w:t xml:space="preserve"> </w:t>
      </w:r>
      <w:r>
        <w:t xml:space="preserve">with</w:t>
      </w:r>
      <w:r>
        <w:t xml:space="preserve"> </w:t>
      </w:r>
      <w:r>
        <w:t xml:space="preserve">a</w:t>
      </w:r>
      <w:r>
        <w:t xml:space="preserve"> </w:t>
      </w:r>
      <w:r>
        <w:t xml:space="preserve">residual</w:t>
      </w:r>
      <w:r>
        <w:t xml:space="preserve"> </w:t>
      </w:r>
      <w:r>
        <w:t xml:space="preserve">d-band</w:t>
      </w:r>
      <w:r>
        <w:t xml:space="preserve"> </w:t>
      </w:r>
      <w:r>
        <w:t xml:space="preserve">signal</w:t>
      </w:r>
      <w:r>
        <w:t xml:space="preserve"> </w:t>
      </w:r>
      <w:r>
        <w:t xml:space="preserve">emerging</w:t>
      </w:r>
      <w:r>
        <w:t xml:space="preserve"> </w:t>
      </w:r>
      <w:r>
        <w:t xml:space="preserve">only</w:t>
      </w:r>
      <w:r>
        <w:t xml:space="preserve"> </w:t>
      </w:r>
      <w:r>
        <w:t xml:space="preserve">after</w:t>
      </w:r>
      <w:r>
        <w:t xml:space="preserve"> </w:t>
      </w:r>
      <w:r>
        <w:t xml:space="preserve">fitting</w:t>
      </w:r>
      <w:r>
        <w:t xml:space="preserve"> </w:t>
      </w:r>
      <w:r>
        <w:t xml:space="preserve">depth</w:t>
      </w:r>
      <w:r>
        <w:t xml:space="preserve"> </w:t>
      </w:r>
      <w:r>
        <w:t xml:space="preserve">is</w:t>
      </w:r>
      <w:r>
        <w:t xml:space="preserve"> </w:t>
      </w:r>
      <w:r>
        <w:t xml:space="preserve">controlled</w:t>
      </w:r>
      <w:r>
        <w:t xml:space="preserve"> </w:t>
      </w:r>
      <w:r>
        <w:t xml:space="preserve">(</w:t>
      </w:r>
      <m:oMath>
        <m:r>
          <m:t>ρ</m:t>
        </m:r>
        <m:r>
          <m:rPr>
            <m:sty m:val="p"/>
          </m:rPr>
          <m:t>=</m:t>
        </m:r>
        <m:r>
          <m:rPr>
            <m:sty m:val="p"/>
          </m:rPr>
          <m:t>+</m:t>
        </m:r>
        <m:r>
          <m:t>0.52</m:t>
        </m:r>
      </m:oMath>
      <w:r>
        <w:t xml:space="preserve">,</w:t>
      </w:r>
      <w:r>
        <w:t xml:space="preserve"> </w:t>
      </w:r>
      <m:oMath>
        <m:r>
          <m:t>p</m:t>
        </m:r>
        <m:r>
          <m:rPr>
            <m:sty m:val="p"/>
          </m:rPr>
          <m:t>=</m:t>
        </m:r>
        <m:r>
          <m:t>0.087</m:t>
        </m:r>
      </m:oMath>
      <w:r>
        <w:t xml:space="preserve">,</w:t>
      </w:r>
      <w:r>
        <w:t xml:space="preserve"> </w:t>
      </w:r>
      <m:oMath>
        <m:r>
          <m:t>n</m:t>
        </m:r>
        <m:r>
          <m:rPr>
            <m:sty m:val="p"/>
          </m:rPr>
          <m:t>=</m:t>
        </m:r>
        <m:r>
          <m:t>12</m:t>
        </m:r>
      </m:oMath>
      <w:r>
        <w:t xml:space="preserve">);</w:t>
      </w:r>
      <w:r>
        <w:t xml:space="preserve"> </w:t>
      </w:r>
      <w:r>
        <w:t xml:space="preserve">this</w:t>
      </w:r>
      <w:r>
        <w:t xml:space="preserve"> </w:t>
      </w:r>
      <w:r>
        <w:t xml:space="preserve">classical-family-specific</w:t>
      </w:r>
      <w:r>
        <w:t xml:space="preserve"> </w:t>
      </w:r>
      <w:r>
        <w:t xml:space="preserve">dichotomy</w:t>
      </w:r>
      <w:r>
        <w:t xml:space="preserve"> </w:t>
      </w:r>
      <w:r>
        <w:t xml:space="preserve">does</w:t>
      </w:r>
      <w:r>
        <w:t xml:space="preserve"> </w:t>
      </w:r>
      <w:r>
        <w:t xml:space="preserve">not</w:t>
      </w:r>
      <w:r>
        <w:t xml:space="preserve"> </w:t>
      </w:r>
      <w:r>
        <w:t xml:space="preserve">transfer</w:t>
      </w:r>
      <w:r>
        <w:t xml:space="preserve"> </w:t>
      </w:r>
      <w:r>
        <w:t xml:space="preserve">across</w:t>
      </w:r>
      <w:r>
        <w:t xml:space="preserve"> </w:t>
      </w:r>
      <w:r>
        <w:t xml:space="preserve">modeling</w:t>
      </w:r>
      <w:r>
        <w:t xml:space="preserve"> </w:t>
      </w:r>
      <w:r>
        <w:t xml:space="preserve">paradigms.</w:t>
      </w:r>
      <w:r>
        <w:t xml:space="preserve"> </w:t>
      </w:r>
      <w:r>
        <w:rPr>
          <w:bCs/>
          <w:b/>
        </w:rPr>
        <w:t xml:space="preserve">Conclusions:</w:t>
      </w:r>
      <w:r>
        <w:t xml:space="preserve"> </w:t>
      </w:r>
      <w:r>
        <w:t xml:space="preserve">Prediction</w:t>
      </w:r>
      <w:r>
        <w:t xml:space="preserve"> </w:t>
      </w:r>
      <w:r>
        <w:t xml:space="preserve">errors</w:t>
      </w:r>
      <w:r>
        <w:t xml:space="preserve"> </w:t>
      </w:r>
      <w:r>
        <w:t xml:space="preserve">are</w:t>
      </w:r>
      <w:r>
        <w:t xml:space="preserve"> </w:t>
      </w:r>
      <w:r>
        <w:t xml:space="preserve">not</w:t>
      </w:r>
      <w:r>
        <w:t xml:space="preserve"> </w:t>
      </w:r>
      <w:r>
        <w:t xml:space="preserve">unstructured</w:t>
      </w:r>
      <w:r>
        <w:t xml:space="preserve"> </w:t>
      </w:r>
      <w:r>
        <w:t xml:space="preserve">noise</w:t>
      </w:r>
      <w:r>
        <w:t xml:space="preserve"> </w:t>
      </w:r>
      <w:r>
        <w:t xml:space="preserve">but</w:t>
      </w:r>
      <w:r>
        <w:t xml:space="preserve"> </w:t>
      </w:r>
      <w:r>
        <w:t xml:space="preserve">occupy</w:t>
      </w:r>
      <w:r>
        <w:t xml:space="preserve"> </w:t>
      </w:r>
      <w:r>
        <w:t xml:space="preserve">strictly</w:t>
      </w:r>
      <w:r>
        <w:t xml:space="preserve"> </w:t>
      </w:r>
      <w:r>
        <w:t xml:space="preserve">bounded,</w:t>
      </w:r>
      <w:r>
        <w:t xml:space="preserve"> </w:t>
      </w:r>
      <w:r>
        <w:t xml:space="preserve">low-dimensional</w:t>
      </w:r>
      <w:r>
        <w:t xml:space="preserve"> </w:t>
      </w:r>
      <w:r>
        <w:t xml:space="preserve">manifolds</w:t>
      </w:r>
      <w:r>
        <w:t xml:space="preserve"> </w:t>
      </w:r>
      <w:r>
        <w:t xml:space="preserve">whose</w:t>
      </w:r>
      <w:r>
        <w:t xml:space="preserve"> </w:t>
      </w:r>
      <w:r>
        <w:t xml:space="preserve">geometry</w:t>
      </w:r>
      <w:r>
        <w:t xml:space="preserve"> </w:t>
      </w:r>
      <w:r>
        <w:t xml:space="preserve">is</w:t>
      </w:r>
      <w:r>
        <w:t xml:space="preserve"> </w:t>
      </w:r>
      <w:r>
        <w:t xml:space="preserve">element-</w:t>
      </w:r>
      <w:r>
        <w:t xml:space="preserve"> </w:t>
      </w:r>
      <w:r>
        <w:t xml:space="preserve">and</w:t>
      </w:r>
      <w:r>
        <w:t xml:space="preserve"> </w:t>
      </w:r>
      <w:r>
        <w:t xml:space="preserve">crystal-structure-dependent.</w:t>
      </w:r>
      <w:r>
        <w:t xml:space="preserve"> </w:t>
      </w:r>
      <w:r>
        <w:t xml:space="preserve">Standard</w:t>
      </w:r>
      <w:r>
        <w:t xml:space="preserve"> </w:t>
      </w:r>
      <w:r>
        <w:t xml:space="preserve">cross-element</w:t>
      </w:r>
      <w:r>
        <w:t xml:space="preserve"> </w:t>
      </w:r>
      <w:r>
        <w:t xml:space="preserve">benchmarking</w:t>
      </w:r>
      <w:r>
        <w:t xml:space="preserve"> </w:t>
      </w:r>
      <w:r>
        <w:t xml:space="preserve">suffers</w:t>
      </w:r>
      <w:r>
        <w:t xml:space="preserve"> </w:t>
      </w:r>
      <w:r>
        <w:t xml:space="preserve">from</w:t>
      </w:r>
      <w:r>
        <w:t xml:space="preserve"> </w:t>
      </w:r>
      <w:r>
        <w:t xml:space="preserve">ecological</w:t>
      </w:r>
      <w:r>
        <w:t xml:space="preserve"> </w:t>
      </w:r>
      <w:r>
        <w:t xml:space="preserve">fallacy;</w:t>
      </w:r>
      <w:r>
        <w:t xml:space="preserve"> </w:t>
      </w:r>
      <w:r>
        <w:t xml:space="preserve">correct</w:t>
      </w:r>
      <w:r>
        <w:t xml:space="preserve"> </w:t>
      </w:r>
      <w:r>
        <w:t xml:space="preserve">analysis</w:t>
      </w:r>
      <w:r>
        <w:t xml:space="preserve"> </w:t>
      </w:r>
      <w:r>
        <w:t xml:space="preserve">requires</w:t>
      </w:r>
      <w:r>
        <w:t xml:space="preserve"> </w:t>
      </w:r>
      <w:r>
        <w:t xml:space="preserve">stratified</w:t>
      </w:r>
      <w:r>
        <w:t xml:space="preserve"> </w:t>
      </w:r>
      <w:r>
        <w:t xml:space="preserve">evaluation</w:t>
      </w:r>
      <w:r>
        <w:t xml:space="preserve"> </w:t>
      </w:r>
      <w:r>
        <w:t xml:space="preserve">and</w:t>
      </w:r>
      <w:r>
        <w:t xml:space="preserve"> </w:t>
      </w:r>
      <w:r>
        <w:t xml:space="preserve">random-effects</w:t>
      </w:r>
      <w:r>
        <w:t xml:space="preserve"> </w:t>
      </w:r>
      <w:r>
        <w:t xml:space="preserve">meta-analysis.</w:t>
      </w:r>
      <w:r>
        <w:t xml:space="preserve"> </w:t>
      </w:r>
      <w:r>
        <w:t xml:space="preserve">All</w:t>
      </w:r>
      <w:r>
        <w:t xml:space="preserve"> </w:t>
      </w:r>
      <w:r>
        <w:t xml:space="preserve">methods</w:t>
      </w:r>
      <w:r>
        <w:t xml:space="preserve"> </w:t>
      </w:r>
      <w:r>
        <w:t xml:space="preserve">are</w:t>
      </w:r>
      <w:r>
        <w:t xml:space="preserve"> </w:t>
      </w:r>
      <w:r>
        <w:t xml:space="preserve">implemented</w:t>
      </w:r>
      <w:r>
        <w:t xml:space="preserve"> </w:t>
      </w:r>
      <w:r>
        <w:t xml:space="preserve">in</w:t>
      </w:r>
      <w:r>
        <w:t xml:space="preserve"> </w:t>
      </w:r>
      <w:r>
        <w:t xml:space="preserve">the</w:t>
      </w:r>
      <w:r>
        <w:t xml:space="preserve"> </w:t>
      </w:r>
      <w:r>
        <w:t xml:space="preserve">open-source</w:t>
      </w:r>
      <w:r>
        <w:t xml:space="preserve"> </w:t>
      </w:r>
      <w:r>
        <w:rPr>
          <w:rStyle w:val="VerbatimChar"/>
        </w:rPr>
        <w:t xml:space="preserve">atlas-distill</w:t>
      </w:r>
      <w:r>
        <w:t xml:space="preserve"> </w:t>
      </w:r>
      <w:r>
        <w:t xml:space="preserve">engine.</w:t>
      </w:r>
    </w:p>
    <w:bookmarkStart w:id="20" w:name="introduction"/>
    <w:p>
      <w:pPr>
        <w:pStyle w:val="Heading1"/>
      </w:pPr>
      <w:r>
        <w:t xml:space="preserve">Introduction</w:t>
      </w:r>
    </w:p>
    <w:p>
      <w:pPr>
        <w:pStyle w:val="FirstParagraph"/>
      </w:pPr>
      <w:r>
        <w:t xml:space="preserve">The accelerated discovery of advanced materials depends critically on the predictive fidelity of classical and machine-learning interatomic potentials (MLIPs)</w:t>
      </w:r>
      <w:r>
        <w:t xml:space="preserve">. While systematic benchmarking databases have quantified the performance of these models</w:t>
      </w:r>
      <w:r>
        <w:t xml:space="preserve">, the geometric and statistical structure of their prediction errors remains poorly understood.</w:t>
      </w:r>
    </w:p>
    <w:p>
      <w:pPr>
        <w:pStyle w:val="BodyText"/>
      </w:pPr>
      <w:r>
        <w:t xml:space="preserve">Three intellectual traditions converge on this problem. First,</w:t>
      </w:r>
      <w:r>
        <w:t xml:space="preserve"> </w:t>
      </w:r>
      <w:r>
        <w:rPr>
          <w:iCs/>
          <w:i/>
        </w:rPr>
        <w:t xml:space="preserve">sloppy model theory</w:t>
      </w:r>
      <w:r>
        <w:t xml:space="preserve"> </w:t>
      </w:r>
      <w:r>
        <w:t xml:space="preserve">establishes that multiparameter models generically have parameter sensitivities spanning many orders of magnitude, with only a few</w:t>
      </w:r>
      <w:r>
        <w:t xml:space="preserve"> </w:t>
      </w:r>
      <w:r>
        <w:t xml:space="preserve">“</w:t>
      </w:r>
      <w:r>
        <w:t xml:space="preserve">stiff</w:t>
      </w:r>
      <w:r>
        <w:t xml:space="preserve">”</w:t>
      </w:r>
      <w:r>
        <w:t xml:space="preserve"> </w:t>
      </w:r>
      <w:r>
        <w:t xml:space="preserve">combinations controlling predictions and many</w:t>
      </w:r>
      <w:r>
        <w:t xml:space="preserve"> </w:t>
      </w:r>
      <w:r>
        <w:t xml:space="preserve">“</w:t>
      </w:r>
      <w:r>
        <w:t xml:space="preserve">sloppy</w:t>
      </w:r>
      <w:r>
        <w:t xml:space="preserve">”</w:t>
      </w:r>
      <w:r>
        <w:t xml:space="preserve"> </w:t>
      </w:r>
      <w:r>
        <w:t xml:space="preserve">directions allowing free variation</w:t>
      </w:r>
      <w:r>
        <w:t xml:space="preserve">. The model manifold—the set of all possible predictions as parameters vary—forms a</w:t>
      </w:r>
      <w:r>
        <w:t xml:space="preserve"> </w:t>
      </w:r>
      <w:r>
        <w:t xml:space="preserve">“</w:t>
      </w:r>
      <w:r>
        <w:t xml:space="preserve">hyper-ribbon</w:t>
      </w:r>
      <w:r>
        <w:t xml:space="preserve">”</w:t>
      </w:r>
      <w:r>
        <w:t xml:space="preserve"> </w:t>
      </w:r>
      <w:r>
        <w:t xml:space="preserve">in data space with a geometric hierarchy of widths</w:t>
      </w:r>
      <w:r>
        <w:t xml:space="preserve">. Subsequent work formalized model reduction via the Manifold Boundary Approximation Method</w:t>
      </w:r>
      <w:r>
        <w:t xml:space="preserve"> </w:t>
      </w:r>
      <w:r>
        <w:t xml:space="preserve">and connected sloppiness to emergent theories across physics and biology</w:t>
      </w:r>
      <w:r>
        <w:t xml:space="preserve">. Quinn et al. provided rigorous mathematical foundations through Chebyshev approximation theory</w:t>
      </w:r>
      <w:r>
        <w:t xml:space="preserve"> </w:t>
      </w:r>
      <w:r>
        <w:t xml:space="preserve">and a comprehensive review of information geometry for multiparameter models</w:t>
      </w:r>
      <w:r>
        <w:t xml:space="preserve">.</w:t>
      </w:r>
    </w:p>
    <w:p>
      <w:pPr>
        <w:pStyle w:val="BodyText"/>
      </w:pPr>
      <w:r>
        <w:t xml:space="preserve">Second,</w:t>
      </w:r>
      <w:r>
        <w:t xml:space="preserve"> </w:t>
      </w:r>
      <w:r>
        <w:rPr>
          <w:iCs/>
          <w:i/>
        </w:rPr>
        <w:t xml:space="preserve">Simpson’s paradox</w:t>
      </w:r>
      <w:r>
        <w:t xml:space="preserve"> </w:t>
      </w:r>
      <w:r>
        <w:t xml:space="preserve">and the ecological fallacy warn that correlations computed across heterogeneous groups can invert when confounders are ignored</w:t>
      </w:r>
      <w:r>
        <w:t xml:space="preserve">. The classic demonstration by Bickel et al.</w:t>
      </w:r>
      <w:r>
        <w:t xml:space="preserve"> </w:t>
      </w:r>
      <w:r>
        <w:t xml:space="preserve">showed how aggregate admissions data could reverse at the department level—a structure directly analogous to pooling elastic constant errors across elements. Robinson</w:t>
      </w:r>
      <w:r>
        <w:t xml:space="preserve"> </w:t>
      </w:r>
      <w:r>
        <w:t xml:space="preserve">established the closely related ecological fallacy. In materials benchmarking, element identity acts as precisely such a confounder: atomic radius, electron configuration, and bonding character influence both the target elastic constants and the potential’s prediction errors</w:t>
      </w:r>
      <w:r>
        <w:t xml:space="preserve">.</w:t>
      </w:r>
    </w:p>
    <w:p>
      <w:pPr>
        <w:pStyle w:val="BodyText"/>
      </w:pPr>
      <w:r>
        <w:t xml:space="preserve">Third,</w:t>
      </w:r>
      <w:r>
        <w:t xml:space="preserve"> </w:t>
      </w:r>
      <w:r>
        <w:rPr>
          <w:iCs/>
          <w:i/>
        </w:rPr>
        <w:t xml:space="preserve">meta-analysis</w:t>
      </w:r>
      <w:r>
        <w:t xml:space="preserve"> </w:t>
      </w:r>
      <w:r>
        <w:t xml:space="preserve">provides rigorous methods for combining correlations across heterogeneous groups, including Fisher z-transformation, DerSimonian-Laird random-effects estimation, and heterogeneity statistics (</w:t>
      </w:r>
      <m:oMath>
        <m:r>
          <m:t>Q</m:t>
        </m:r>
      </m:oMath>
      <w:r>
        <w:t xml:space="preserve">,</w:t>
      </w:r>
      <w:r>
        <w:t xml:space="preserve"> </w:t>
      </w:r>
      <m:oMath>
        <m:sSup>
          <m:e>
            <m:r>
              <m:t>I</m:t>
            </m:r>
          </m:e>
          <m:sup>
            <m:r>
              <m:t>2</m:t>
            </m:r>
          </m:sup>
        </m:sSup>
      </m:oMath>
      <w:r>
        <w:t xml:space="preserve">,</w:t>
      </w:r>
      <w:r>
        <w:t xml:space="preserve"> </w:t>
      </w:r>
      <m:oMath>
        <m:sSup>
          <m:e>
            <m:r>
              <m:t>τ</m:t>
            </m:r>
          </m:e>
          <m:sup>
            <m:r>
              <m:t>2</m:t>
            </m:r>
          </m:sup>
        </m:sSup>
      </m:oMath>
      <w:r>
        <w:t xml:space="preserve">)</w:t>
      </w:r>
      <w:r>
        <w:t xml:space="preserve">.</w:t>
      </w:r>
    </w:p>
    <w:p>
      <w:pPr>
        <w:pStyle w:val="BodyText"/>
      </w:pPr>
      <w:r>
        <w:t xml:space="preserve">Here we synthesize these traditions to demonstrate that: (1) elastic constant errors across 559 real potentials are universally compressed onto hyper-ribbons with effective dimensionality</w:t>
      </w:r>
      <w:r>
        <w:t xml:space="preserve"> </w:t>
      </w:r>
      <m:oMath>
        <m:r>
          <m:t>1.05</m:t>
        </m:r>
      </m:oMath>
      <w:r>
        <w:t xml:space="preserve">–</w:t>
      </w:r>
      <m:oMath>
        <m:r>
          <m:t>1.86</m:t>
        </m:r>
      </m:oMath>
      <w:r>
        <w:t xml:space="preserve"> </w:t>
      </w:r>
      <w:r>
        <w:t xml:space="preserve">out of 3; (2) a crystal-structure-dependent dichotomy governs error correlations, with BCC metals showing near-perfect agreement (</w:t>
      </w:r>
      <m:oMath>
        <m:r>
          <m:t>r</m:t>
        </m:r>
        <m:r>
          <m:rPr>
            <m:sty m:val="p"/>
          </m:rPr>
          <m:t>&gt;</m:t>
        </m:r>
        <m:r>
          <m:t>0.70</m:t>
        </m:r>
      </m:oMath>
      <w:r>
        <w:t xml:space="preserve">) while FCC metals show near-zero correlation (</w:t>
      </w:r>
      <m:oMath>
        <m:r>
          <m:t>r</m:t>
        </m:r>
        <m:r>
          <m:rPr>
            <m:sty m:val="p"/>
          </m:rPr>
          <m:t>&lt;</m:t>
        </m:r>
        <m:r>
          <m:t>0.40</m:t>
        </m:r>
      </m:oMath>
      <w:r>
        <w:t xml:space="preserve">); and (3) random-effects meta-analysis is required to correctly aggregate heterogeneous potential performance (</w:t>
      </w:r>
      <m:oMath>
        <m:sSup>
          <m:e>
            <m:r>
              <m:t>I</m:t>
            </m:r>
          </m:e>
          <m:sup>
            <m:r>
              <m:t>2</m:t>
            </m:r>
          </m:sup>
        </m:sSup>
        <m:r>
          <m:rPr>
            <m:sty m:val="p"/>
          </m:rPr>
          <m:t>=</m:t>
        </m:r>
        <m:r>
          <m:t>98.6</m:t>
        </m:r>
        <m:r>
          <m:rPr>
            <m:sty m:val="p"/>
          </m:rPr>
          <m:t>%</m:t>
        </m:r>
      </m:oMath>
      <w:r>
        <w:t xml:space="preserve">). All analyses are implemented in</w:t>
      </w:r>
      <w:r>
        <w:t xml:space="preserve"> </w:t>
      </w:r>
      <w:r>
        <w:rPr>
          <w:rStyle w:val="VerbatimChar"/>
        </w:rPr>
        <w:t xml:space="preserve">atlas-distill</w:t>
      </w:r>
      <w:r>
        <w:t xml:space="preserve">, an open-source Rust engine for mathematical discovery in molecular dynamics data.</w:t>
      </w:r>
    </w:p>
    <w:bookmarkEnd w:id="20"/>
    <w:bookmarkStart w:id="24" w:name="theory"/>
    <w:p>
      <w:pPr>
        <w:pStyle w:val="Heading1"/>
      </w:pPr>
      <w:r>
        <w:t xml:space="preserve">Theory</w:t>
      </w:r>
    </w:p>
    <w:bookmarkStart w:id="21" w:name="X363ac876c6062ae0a011846a9ec8f500081a789"/>
    <w:p>
      <w:pPr>
        <w:pStyle w:val="Heading2"/>
      </w:pPr>
      <w:r>
        <w:t xml:space="preserve">Sloppy model theory and hyper-ribbon geometry</w:t>
      </w:r>
    </w:p>
    <w:p>
      <w:pPr>
        <w:pStyle w:val="FirstParagraph"/>
      </w:pPr>
      <w:r>
        <w:t xml:space="preserve">For a model with</w:t>
      </w:r>
      <w:r>
        <w:t xml:space="preserve"> </w:t>
      </w:r>
      <m:oMath>
        <m:r>
          <m:t>N</m:t>
        </m:r>
      </m:oMath>
      <w:r>
        <w:t xml:space="preserve"> </w:t>
      </w:r>
      <w:r>
        <w:t xml:space="preserve">parameters fit to</w:t>
      </w:r>
      <w:r>
        <w:t xml:space="preserve"> </w:t>
      </w:r>
      <m:oMath>
        <m:r>
          <m:t>M</m:t>
        </m:r>
      </m:oMath>
      <w:r>
        <w:t xml:space="preserve"> </w:t>
      </w:r>
      <w:r>
        <w:t xml:space="preserve">observations, the Fisher Information Matrix (FIM)</w:t>
      </w:r>
      <w:r>
        <w:t xml:space="preserve"> </w:t>
      </w:r>
      <m:oMath>
        <m:r>
          <m:rPr>
            <m:sty m:val="b"/>
          </m:rPr>
          <m:t>H</m:t>
        </m:r>
      </m:oMath>
      <w:r>
        <w:t xml:space="preserve"> </w:t>
      </w:r>
      <w:r>
        <w:t xml:space="preserve">characterizes the curvature of the likelihood landscape. Eigenvalue decomposition</w:t>
      </w:r>
      <w:r>
        <w:t xml:space="preserve"> </w:t>
      </w:r>
      <m:oMath>
        <m:r>
          <m:rPr>
            <m:sty m:val="b"/>
          </m:rPr>
          <m:t>H</m:t>
        </m:r>
        <m:sSub>
          <m:e>
            <m:r>
              <m:rPr>
                <m:sty m:val="b"/>
              </m:rPr>
              <m:t>v</m:t>
            </m:r>
          </m:e>
          <m:sub>
            <m:r>
              <m:t>i</m:t>
            </m:r>
          </m:sub>
        </m:sSub>
        <m:r>
          <m:rPr>
            <m:sty m:val="p"/>
          </m:rPr>
          <m:t>=</m:t>
        </m:r>
        <m:sSub>
          <m:e>
            <m:r>
              <m:t>λ</m:t>
            </m:r>
          </m:e>
          <m:sub>
            <m:r>
              <m:t>i</m:t>
            </m:r>
          </m:sub>
        </m:sSub>
        <m:sSub>
          <m:e>
            <m:r>
              <m:rPr>
                <m:sty m:val="b"/>
              </m:rPr>
              <m:t>v</m:t>
            </m:r>
          </m:e>
          <m:sub>
            <m:r>
              <m:t>i</m:t>
            </m:r>
          </m:sub>
        </m:sSub>
      </m:oMath>
      <w:r>
        <w:t xml:space="preserve"> </w:t>
      </w:r>
      <w:r>
        <w:t xml:space="preserve">reveals the geometric structure of the model manifold.</w:t>
      </w:r>
    </w:p>
    <w:p>
      <w:pPr>
        <w:pStyle w:val="BodyText"/>
      </w:pPr>
      <w:r>
        <w:t xml:space="preserve">The</w:t>
      </w:r>
      <w:r>
        <w:t xml:space="preserve"> </w:t>
      </w:r>
      <w:r>
        <w:rPr>
          <w:iCs/>
          <w:i/>
        </w:rPr>
        <w:t xml:space="preserve">participation ratio</w:t>
      </w:r>
      <w:r>
        <w:t xml:space="preserve"> </w:t>
      </w:r>
      <w:r>
        <w:t xml:space="preserve">(PR) measures effective dimensionality:</w:t>
      </w:r>
    </w:p>
    <w:p>
      <w:pPr>
        <w:pStyle w:val="BodyText"/>
      </w:pPr>
      <m:oMathPara>
        <m:oMathParaPr>
          <m:jc m:val="center"/>
        </m:oMathParaPr>
        <m:oMath>
          <m:r>
            <m:rPr>
              <m:nor/>
              <m:sty m:val="p"/>
            </m:rPr>
            <m:t>PR</m:t>
          </m:r>
          <m:r>
            <m:rPr>
              <m:sty m:val="p"/>
            </m:rPr>
            <m:t>=</m:t>
          </m:r>
          <m:f>
            <m:fPr>
              <m:type m:val="bar"/>
            </m:fPr>
            <m:num>
              <m:sSup>
                <m:e>
                  <m:d>
                    <m:dPr>
                      <m:begChr m:val="("/>
                      <m:endChr m:val=")"/>
                      <m:sepChr m:val=""/>
                      <m:grow/>
                    </m:dPr>
                    <m:e>
                      <m:nary>
                        <m:naryPr>
                          <m:chr m:val="∑"/>
                          <m:limLoc m:val="undOvr"/>
                          <m:subHide m:val="0"/>
                          <m:supHide m:val="1"/>
                        </m:naryPr>
                        <m:sub>
                          <m:r>
                            <m:t>i</m:t>
                          </m:r>
                        </m:sub>
                        <m:sup>
                          <m:r>
                            <m:t>​</m:t>
                          </m:r>
                        </m:sup>
                        <m:e>
                          <m:sSub>
                            <m:e>
                              <m:r>
                                <m:t>λ</m:t>
                              </m:r>
                            </m:e>
                            <m:sub>
                              <m:r>
                                <m:t>i</m:t>
                              </m:r>
                            </m:sub>
                          </m:sSub>
                        </m:e>
                      </m:nary>
                    </m:e>
                  </m:d>
                </m:e>
                <m:sup>
                  <m:r>
                    <m:t>2</m:t>
                  </m:r>
                </m:sup>
              </m:sSup>
            </m:num>
            <m:den>
              <m:nary>
                <m:naryPr>
                  <m:chr m:val="∑"/>
                  <m:limLoc m:val="undOvr"/>
                  <m:subHide m:val="0"/>
                  <m:supHide m:val="1"/>
                </m:naryPr>
                <m:sub>
                  <m:r>
                    <m:t>i</m:t>
                  </m:r>
                </m:sub>
                <m:sup>
                  <m:r>
                    <m:t>​</m:t>
                  </m:r>
                </m:sup>
                <m:e>
                  <m:sSubSup>
                    <m:e>
                      <m:r>
                        <m:t>λ</m:t>
                      </m:r>
                    </m:e>
                    <m:sub>
                      <m:r>
                        <m:t>i</m:t>
                      </m:r>
                    </m:sub>
                    <m:sup>
                      <m:r>
                        <m:t>2</m:t>
                      </m:r>
                    </m:sup>
                  </m:sSubSup>
                </m:e>
              </m:nary>
            </m:den>
          </m:f>
        </m:oMath>
      </m:oMathPara>
    </w:p>
    <w:p>
      <w:pPr>
        <w:pStyle w:val="FirstParagraph"/>
      </w:pPr>
      <w:r>
        <w:t xml:space="preserve">For isotropic</w:t>
      </w:r>
      <w:r>
        <w:t xml:space="preserve"> </w:t>
      </w:r>
      <m:oMath>
        <m:r>
          <m:t>d</m:t>
        </m:r>
      </m:oMath>
      <w:r>
        <w:t xml:space="preserve">-dimensional data,</w:t>
      </w:r>
      <w:r>
        <w:t xml:space="preserve"> </w:t>
      </w:r>
      <m:oMath>
        <m:r>
          <m:rPr>
            <m:nor/>
            <m:sty m:val="p"/>
          </m:rPr>
          <m:t>PR</m:t>
        </m:r>
        <m:r>
          <m:rPr>
            <m:sty m:val="p"/>
          </m:rPr>
          <m:t>≈</m:t>
        </m:r>
        <m:r>
          <m:t>d</m:t>
        </m:r>
      </m:oMath>
      <w:r>
        <w:t xml:space="preserve">; for data confined to a</w:t>
      </w:r>
      <w:r>
        <w:t xml:space="preserve"> </w:t>
      </w:r>
      <m:oMath>
        <m:r>
          <m:t>k</m:t>
        </m:r>
      </m:oMath>
      <w:r>
        <w:t xml:space="preserve">-dimensional subspace,</w:t>
      </w:r>
      <w:r>
        <w:t xml:space="preserve"> </w:t>
      </w:r>
      <m:oMath>
        <m:r>
          <m:rPr>
            <m:nor/>
            <m:sty m:val="p"/>
          </m:rPr>
          <m:t>PR</m:t>
        </m:r>
        <m:r>
          <m:rPr>
            <m:sty m:val="p"/>
          </m:rPr>
          <m:t>≈</m:t>
        </m:r>
        <m:r>
          <m:t>k</m:t>
        </m:r>
      </m:oMath>
      <w:r>
        <w:t xml:space="preserve">.</w:t>
      </w:r>
    </w:p>
    <w:p>
      <w:pPr>
        <w:pStyle w:val="BodyText"/>
      </w:pPr>
      <w:r>
        <w:t xml:space="preserve">Sloppy models exhibit approximately linear log-spacing of eigenvalues:</w:t>
      </w:r>
    </w:p>
    <w:p>
      <w:pPr>
        <w:pStyle w:val="BodyText"/>
      </w:pPr>
      <m:oMathPara>
        <m:oMathParaPr>
          <m:jc m:val="center"/>
        </m:oMathParaPr>
        <m:oMath>
          <m:r>
            <m:rPr>
              <m:sty m:val="p"/>
            </m:rPr>
            <m:t>ln</m:t>
          </m:r>
          <m:sSub>
            <m:e>
              <m:r>
                <m:t>λ</m:t>
              </m:r>
            </m:e>
            <m:sub>
              <m:r>
                <m:t>i</m:t>
              </m:r>
            </m:sub>
          </m:sSub>
          <m:r>
            <m:rPr>
              <m:sty m:val="p"/>
            </m:rPr>
            <m:t>≈</m:t>
          </m:r>
          <m:r>
            <m:t>a</m:t>
          </m:r>
          <m:r>
            <m:rPr>
              <m:sty m:val="p"/>
            </m:rPr>
            <m:t>+</m:t>
          </m:r>
          <m:r>
            <m:t>b</m:t>
          </m:r>
          <m:r>
            <m:rPr>
              <m:sty m:val="p"/>
            </m:rPr>
            <m:t>⋅</m:t>
          </m:r>
          <m:r>
            <m:t>i</m:t>
          </m:r>
        </m:oMath>
      </m:oMathPara>
    </w:p>
    <w:p>
      <w:pPr>
        <w:pStyle w:val="FirstParagraph"/>
      </w:pPr>
      <w:r>
        <w:t xml:space="preserve">which is the signature of Vandermonde matrix ensembles</w:t>
      </w:r>
      <w:r>
        <w:t xml:space="preserve">. This spectrum has been confirmed in interatomic potentials by Frederiksen et al.</w:t>
      </w:r>
      <w:r>
        <w:t xml:space="preserve">, Wen et al.</w:t>
      </w:r>
      <w:r>
        <w:t xml:space="preserve">, and Kurniawan et al.</w:t>
      </w:r>
      <w:r>
        <w:t xml:space="preserve">, and recently extended to deep neural networks by Mao et al.</w:t>
      </w:r>
      <w:r>
        <w:t xml:space="preserve">. We quantify this via linear regression on</w:t>
      </w:r>
      <w:r>
        <w:t xml:space="preserve"> </w:t>
      </w:r>
      <m:oMath>
        <m:r>
          <m:rPr>
            <m:sty m:val="p"/>
          </m:rPr>
          <m:t>ln</m:t>
        </m:r>
        <m:sSub>
          <m:e>
            <m:r>
              <m:t>λ</m:t>
            </m:r>
          </m:e>
          <m:sub>
            <m:r>
              <m:t>i</m:t>
            </m:r>
          </m:sub>
        </m:sSub>
      </m:oMath>
      <w:r>
        <w:t xml:space="preserve"> </w:t>
      </w:r>
      <w:r>
        <w:t xml:space="preserve">versus index</w:t>
      </w:r>
      <w:r>
        <w:t xml:space="preserve"> </w:t>
      </w:r>
      <m:oMath>
        <m:r>
          <m:t>i</m:t>
        </m:r>
      </m:oMath>
      <w:r>
        <w:t xml:space="preserve"> </w:t>
      </w:r>
      <w:r>
        <w:t xml:space="preserve">and report the coefficient of determination</w:t>
      </w:r>
      <w:r>
        <w:t xml:space="preserve"> </w:t>
      </w:r>
      <m:oMath>
        <m:sSup>
          <m:e>
            <m:r>
              <m:t>R</m:t>
            </m:r>
          </m:e>
          <m:sup>
            <m:r>
              <m:t>2</m:t>
            </m:r>
          </m:sup>
        </m:sSup>
      </m:oMath>
      <w:r>
        <w:t xml:space="preserve">.</w:t>
      </w:r>
    </w:p>
    <w:p>
      <w:pPr>
        <w:pStyle w:val="BodyText"/>
      </w:pPr>
      <w:r>
        <w:t xml:space="preserve">The</w:t>
      </w:r>
      <w:r>
        <w:t xml:space="preserve"> </w:t>
      </w:r>
      <w:r>
        <w:rPr>
          <w:iCs/>
          <w:i/>
        </w:rPr>
        <w:t xml:space="preserve">hyper-ribbon</w:t>
      </w:r>
      <w:r>
        <w:t xml:space="preserve"> </w:t>
      </w:r>
      <w:r>
        <w:t xml:space="preserve">classification requires three criteria: (1) strong monotonic decay of eigenvalues (Mann-Kendall</w:t>
      </w:r>
      <w:r>
        <w:t xml:space="preserve"> </w:t>
      </w:r>
      <m:oMath>
        <m:r>
          <m:t>τ</m:t>
        </m:r>
        <m:r>
          <m:rPr>
            <m:sty m:val="p"/>
          </m:rPr>
          <m:t>&lt;</m:t>
        </m:r>
        <m:r>
          <m:rPr>
            <m:sty m:val="p"/>
          </m:rPr>
          <m:t>−</m:t>
        </m:r>
        <m:r>
          <m:t>0.8</m:t>
        </m:r>
      </m:oMath>
      <w:r>
        <w:t xml:space="preserve">); (2) high log-linearity (</w:t>
      </w:r>
      <m:oMath>
        <m:sSup>
          <m:e>
            <m:r>
              <m:t>R</m:t>
            </m:r>
          </m:e>
          <m:sup>
            <m:r>
              <m:t>2</m:t>
            </m:r>
          </m:sup>
        </m:sSup>
        <m:r>
          <m:rPr>
            <m:sty m:val="p"/>
          </m:rPr>
          <m:t>&gt;</m:t>
        </m:r>
        <m:r>
          <m:t>0.8</m:t>
        </m:r>
      </m:oMath>
      <w:r>
        <w:t xml:space="preserve">); and (3) fractional dimensionality</w:t>
      </w:r>
      <w:r>
        <w:t xml:space="preserve"> </w:t>
      </w:r>
      <m:oMath>
        <m:r>
          <m:rPr>
            <m:nor/>
            <m:sty m:val="p"/>
          </m:rPr>
          <m:t>PR</m:t>
        </m:r>
        <m:r>
          <m:rPr>
            <m:sty m:val="p"/>
          </m:rPr>
          <m:t>/</m:t>
        </m:r>
        <m:r>
          <m:t>d</m:t>
        </m:r>
        <m:r>
          <m:rPr>
            <m:sty m:val="p"/>
          </m:rPr>
          <m:t>&lt;</m:t>
        </m:r>
        <m:r>
          <m:t>0.9</m:t>
        </m:r>
      </m:oMath>
      <w:r>
        <w:t xml:space="preserve">.</w:t>
      </w:r>
    </w:p>
    <w:bookmarkEnd w:id="21"/>
    <w:bookmarkStart w:id="22" w:name="simpsons-paradox-and-ecological-fallacy"/>
    <w:p>
      <w:pPr>
        <w:pStyle w:val="Heading2"/>
      </w:pPr>
      <w:r>
        <w:t xml:space="preserve">Simpson’s paradox and ecological fallacy</w:t>
      </w:r>
    </w:p>
    <w:p>
      <w:pPr>
        <w:pStyle w:val="FirstParagraph"/>
      </w:pPr>
      <w:r>
        <w:t xml:space="preserve">For grouped bivariate data</w:t>
      </w:r>
      <w:r>
        <w:t xml:space="preserve"> </w:t>
      </w:r>
      <m:oMath>
        <m:r>
          <m:rPr>
            <m:sty m:val="p"/>
          </m:rPr>
          <m:t>{</m:t>
        </m:r>
        <m:d>
          <m:dPr>
            <m:begChr m:val="("/>
            <m:endChr m:val=")"/>
            <m:sepChr m:val=""/>
            <m:grow/>
          </m:dPr>
          <m:e>
            <m:sSub>
              <m:e>
                <m:r>
                  <m:t>x</m:t>
                </m:r>
              </m:e>
              <m:sub>
                <m:r>
                  <m:t>j</m:t>
                </m:r>
              </m:sub>
            </m:sSub>
            <m:r>
              <m:rPr>
                <m:sty m:val="p"/>
              </m:rPr>
              <m:t>,</m:t>
            </m:r>
            <m:sSub>
              <m:e>
                <m:r>
                  <m:t>y</m:t>
                </m:r>
              </m:e>
              <m:sub>
                <m:r>
                  <m:t>j</m:t>
                </m:r>
              </m:sub>
            </m:sSub>
            <m:r>
              <m:rPr>
                <m:sty m:val="p"/>
              </m:rPr>
              <m:t>,</m:t>
            </m:r>
            <m:sSub>
              <m:e>
                <m:r>
                  <m:t>g</m:t>
                </m:r>
              </m:e>
              <m:sub>
                <m:r>
                  <m:t>j</m:t>
                </m:r>
              </m:sub>
            </m:sSub>
          </m:e>
        </m:d>
        <m:r>
          <m:rPr>
            <m:sty m:val="p"/>
          </m:rPr>
          <m:t>}</m:t>
        </m:r>
      </m:oMath>
      <w:r>
        <w:t xml:space="preserve">, we compute:</w:t>
      </w:r>
    </w:p>
    <w:p>
      <w:pPr>
        <w:numPr>
          <w:ilvl w:val="0"/>
          <w:numId w:val="1001"/>
        </w:numPr>
      </w:pPr>
      <w:r>
        <w:rPr>
          <w:iCs/>
          <w:i/>
        </w:rPr>
        <w:t xml:space="preserve">Pooled correlation</w:t>
      </w:r>
      <w:r>
        <w:t xml:space="preserve"> </w:t>
      </w:r>
      <m:oMath>
        <m:sSub>
          <m:e>
            <m:r>
              <m:t>r</m:t>
            </m:r>
          </m:e>
          <m:sub>
            <m:r>
              <m:rPr>
                <m:nor/>
                <m:sty m:val="p"/>
              </m:rPr>
              <m:t>pool</m:t>
            </m:r>
          </m:sub>
        </m:sSub>
      </m:oMath>
      <w:r>
        <w:t xml:space="preserve"> </w:t>
      </w:r>
      <w:r>
        <w:t xml:space="preserve">across all points</w:t>
      </w:r>
    </w:p>
    <w:p>
      <w:pPr>
        <w:numPr>
          <w:ilvl w:val="0"/>
          <w:numId w:val="1001"/>
        </w:numPr>
      </w:pPr>
      <w:r>
        <w:rPr>
          <w:iCs/>
          <w:i/>
        </w:rPr>
        <w:t xml:space="preserve">Within-group correlation</w:t>
      </w:r>
      <w:r>
        <w:t xml:space="preserve"> </w:t>
      </w:r>
      <m:oMath>
        <m:sSub>
          <m:e>
            <m:r>
              <m:t>r</m:t>
            </m:r>
          </m:e>
          <m:sub>
            <m:r>
              <m:t>g</m:t>
            </m:r>
          </m:sub>
        </m:sSub>
      </m:oMath>
      <w:r>
        <w:t xml:space="preserve"> </w:t>
      </w:r>
      <w:r>
        <w:t xml:space="preserve">for each group</w:t>
      </w:r>
      <w:r>
        <w:t xml:space="preserve"> </w:t>
      </w:r>
      <m:oMath>
        <m:r>
          <m:t>g</m:t>
        </m:r>
      </m:oMath>
    </w:p>
    <w:p>
      <w:pPr>
        <w:numPr>
          <w:ilvl w:val="0"/>
          <w:numId w:val="1001"/>
        </w:numPr>
      </w:pPr>
      <w:r>
        <w:rPr>
          <w:iCs/>
          <w:i/>
        </w:rPr>
        <w:t xml:space="preserve">Pooled within-group correlation</w:t>
      </w:r>
      <w:r>
        <w:t xml:space="preserve"> </w:t>
      </w:r>
      <m:oMath>
        <m:sSub>
          <m:e>
            <m:acc>
              <m:accPr>
                <m:chr m:val="‾"/>
              </m:accPr>
              <m:e>
                <m:r>
                  <m:t>r</m:t>
                </m:r>
              </m:e>
            </m:acc>
          </m:e>
          <m:sub>
            <m:r>
              <m:rPr>
                <m:nor/>
                <m:sty m:val="p"/>
              </m:rPr>
              <m:t>within</m:t>
            </m:r>
          </m:sub>
        </m:sSub>
        <m:r>
          <m:rPr>
            <m:sty m:val="p"/>
          </m:rPr>
          <m:t>=</m:t>
        </m:r>
        <m:f>
          <m:fPr>
            <m:type m:val="bar"/>
          </m:fPr>
          <m:num>
            <m:nary>
              <m:naryPr>
                <m:chr m:val="∑"/>
                <m:limLoc m:val="undOvr"/>
                <m:subHide m:val="0"/>
                <m:supHide m:val="1"/>
              </m:naryPr>
              <m:sub>
                <m:r>
                  <m:t>g</m:t>
                </m:r>
              </m:sub>
              <m:sup>
                <m:r>
                  <m:t>​</m:t>
                </m:r>
              </m:sup>
              <m:e>
                <m:sSub>
                  <m:e>
                    <m:r>
                      <m:t>n</m:t>
                    </m:r>
                  </m:e>
                  <m:sub>
                    <m:r>
                      <m:t>g</m:t>
                    </m:r>
                  </m:sub>
                </m:sSub>
              </m:e>
            </m:nary>
            <m:sSub>
              <m:e>
                <m:r>
                  <m:t>r</m:t>
                </m:r>
              </m:e>
              <m:sub>
                <m:r>
                  <m:t>g</m:t>
                </m:r>
              </m:sub>
            </m:sSub>
          </m:num>
          <m:den>
            <m:nary>
              <m:naryPr>
                <m:chr m:val="∑"/>
                <m:limLoc m:val="undOvr"/>
                <m:subHide m:val="0"/>
                <m:supHide m:val="1"/>
              </m:naryPr>
              <m:sub>
                <m:r>
                  <m:t>g</m:t>
                </m:r>
              </m:sub>
              <m:sup>
                <m:r>
                  <m:t>​</m:t>
                </m:r>
              </m:sup>
              <m:e>
                <m:sSub>
                  <m:e>
                    <m:r>
                      <m:t>n</m:t>
                    </m:r>
                  </m:e>
                  <m:sub>
                    <m:r>
                      <m:t>g</m:t>
                    </m:r>
                  </m:sub>
                </m:sSub>
              </m:e>
            </m:nary>
          </m:den>
        </m:f>
      </m:oMath>
    </w:p>
    <w:p>
      <w:pPr>
        <w:pStyle w:val="FirstParagraph"/>
      </w:pPr>
      <w:r>
        <w:t xml:space="preserve">Simpson’s paradox is detected when</w:t>
      </w:r>
      <w:r>
        <w:t xml:space="preserve"> </w:t>
      </w:r>
      <m:oMath>
        <m:sSub>
          <m:e>
            <m:r>
              <m:t>r</m:t>
            </m:r>
          </m:e>
          <m:sub>
            <m:r>
              <m:rPr>
                <m:nor/>
                <m:sty m:val="p"/>
              </m:rPr>
              <m:t>pool</m:t>
            </m:r>
          </m:sub>
        </m:sSub>
      </m:oMath>
      <w:r>
        <w:t xml:space="preserve"> </w:t>
      </w:r>
      <w:r>
        <w:t xml:space="preserve">and</w:t>
      </w:r>
      <w:r>
        <w:t xml:space="preserve"> </w:t>
      </w:r>
      <m:oMath>
        <m:sSub>
          <m:e>
            <m:acc>
              <m:accPr>
                <m:chr m:val="‾"/>
              </m:accPr>
              <m:e>
                <m:r>
                  <m:t>r</m:t>
                </m:r>
              </m:e>
            </m:acc>
          </m:e>
          <m:sub>
            <m:r>
              <m:rPr>
                <m:nor/>
                <m:sty m:val="p"/>
              </m:rPr>
              <m:t>within</m:t>
            </m:r>
          </m:sub>
        </m:sSub>
      </m:oMath>
      <w:r>
        <w:t xml:space="preserve"> </w:t>
      </w:r>
      <w:r>
        <w:t xml:space="preserve">have opposite signs and the reversal magnitude</w:t>
      </w:r>
      <w:r>
        <w:t xml:space="preserve"> </w:t>
      </w:r>
      <m:oMath>
        <m:d>
          <m:dPr>
            <m:begChr m:val="|"/>
            <m:endChr m:val="|"/>
            <m:sepChr m:val=""/>
            <m:grow/>
          </m:dPr>
          <m:e>
            <m:sSub>
              <m:e>
                <m:r>
                  <m:t>r</m:t>
                </m:r>
              </m:e>
              <m:sub>
                <m:r>
                  <m:rPr>
                    <m:nor/>
                    <m:sty m:val="p"/>
                  </m:rPr>
                  <m:t>pool</m:t>
                </m:r>
              </m:sub>
            </m:sSub>
            <m:r>
              <m:rPr>
                <m:sty m:val="p"/>
              </m:rPr>
              <m:t>−</m:t>
            </m:r>
            <m:sSub>
              <m:e>
                <m:acc>
                  <m:accPr>
                    <m:chr m:val="‾"/>
                  </m:accPr>
                  <m:e>
                    <m:r>
                      <m:t>r</m:t>
                    </m:r>
                  </m:e>
                </m:acc>
              </m:e>
              <m:sub>
                <m:r>
                  <m:rPr>
                    <m:nor/>
                    <m:sty m:val="p"/>
                  </m:rPr>
                  <m:t>within</m:t>
                </m:r>
              </m:sub>
            </m:sSub>
          </m:e>
        </m:d>
        <m:r>
          <m:rPr>
            <m:sty m:val="p"/>
          </m:rPr>
          <m:t>&gt;</m:t>
        </m:r>
        <m:r>
          <m:t>0.3</m:t>
        </m:r>
      </m:oMath>
      <w:r>
        <w:t xml:space="preserve">, following the detection framework of Kievit et al.</w:t>
      </w:r>
      <w:r>
        <w:t xml:space="preserve">. The ecological fallacy risk is elevated when between-group variance in both</w:t>
      </w:r>
      <w:r>
        <w:t xml:space="preserve"> </w:t>
      </w:r>
      <m:oMath>
        <m:r>
          <m:t>x</m:t>
        </m:r>
      </m:oMath>
      <w:r>
        <w:t xml:space="preserve"> </w:t>
      </w:r>
      <w:r>
        <w:t xml:space="preserve">and</w:t>
      </w:r>
      <w:r>
        <w:t xml:space="preserve"> </w:t>
      </w:r>
      <m:oMath>
        <m:r>
          <m:t>y</m:t>
        </m:r>
      </m:oMath>
      <w:r>
        <w:t xml:space="preserve"> </w:t>
      </w:r>
      <w:r>
        <w:t xml:space="preserve">is substantial. Furthermore, because physical constraints among elastic constants create inherent baseline correlations, the standard null hypothesis</w:t>
      </w:r>
      <w:r>
        <w:t xml:space="preserve"> </w:t>
      </w:r>
      <m:oMath>
        <m:r>
          <m:t>ρ</m:t>
        </m:r>
        <m:r>
          <m:rPr>
            <m:sty m:val="p"/>
          </m:rPr>
          <m:t>=</m:t>
        </m:r>
        <m:r>
          <m:t>0</m:t>
        </m:r>
      </m:oMath>
      <w:r>
        <w:t xml:space="preserve"> </w:t>
      </w:r>
      <w:r>
        <w:t xml:space="preserve">is inappropriate</w:t>
      </w:r>
      <w:r>
        <w:t xml:space="preserve">; permutation testing is required to establish proper non-zero baselines.</w:t>
      </w:r>
    </w:p>
    <w:bookmarkEnd w:id="22"/>
    <w:bookmarkStart w:id="23" w:name="random-effects-meta-analysis"/>
    <w:p>
      <w:pPr>
        <w:pStyle w:val="Heading2"/>
      </w:pPr>
      <w:r>
        <w:t xml:space="preserve">Random-effects meta-analysis</w:t>
      </w:r>
    </w:p>
    <w:p>
      <w:pPr>
        <w:pStyle w:val="FirstParagraph"/>
      </w:pPr>
      <w:r>
        <w:t xml:space="preserve">For</w:t>
      </w:r>
      <w:r>
        <w:t xml:space="preserve"> </w:t>
      </w:r>
      <m:oMath>
        <m:r>
          <m:t>K</m:t>
        </m:r>
      </m:oMath>
      <w:r>
        <w:t xml:space="preserve"> </w:t>
      </w:r>
      <w:r>
        <w:t xml:space="preserve">groups with correlations</w:t>
      </w:r>
      <w:r>
        <w:t xml:space="preserve"> </w:t>
      </w:r>
      <m:oMath>
        <m:sSub>
          <m:e>
            <m:r>
              <m:t>r</m:t>
            </m:r>
          </m:e>
          <m:sub>
            <m:r>
              <m:t>k</m:t>
            </m:r>
          </m:sub>
        </m:sSub>
      </m:oMath>
      <w:r>
        <w:t xml:space="preserve"> </w:t>
      </w:r>
      <w:r>
        <w:t xml:space="preserve">and sample sizes</w:t>
      </w:r>
      <w:r>
        <w:t xml:space="preserve"> </w:t>
      </w:r>
      <m:oMath>
        <m:sSub>
          <m:e>
            <m:r>
              <m:t>n</m:t>
            </m:r>
          </m:e>
          <m:sub>
            <m:r>
              <m:t>k</m:t>
            </m:r>
          </m:sub>
        </m:sSub>
      </m:oMath>
      <w:r>
        <w:t xml:space="preserve">, we apply the Fisher z-transformation:</w:t>
      </w:r>
    </w:p>
    <w:p>
      <w:pPr>
        <w:pStyle w:val="BodyText"/>
      </w:pPr>
      <m:oMathPara>
        <m:oMathParaPr>
          <m:jc m:val="center"/>
        </m:oMathParaPr>
        <m:oMath>
          <m:sSub>
            <m:e>
              <m:r>
                <m:t>z</m:t>
              </m:r>
            </m:e>
            <m:sub>
              <m:r>
                <m:t>k</m:t>
              </m:r>
            </m:sub>
          </m:sSub>
          <m:r>
            <m:rPr>
              <m:sty m:val="p"/>
            </m:rPr>
            <m:t>=</m:t>
          </m:r>
          <m:r>
            <m:rPr>
              <m:nor/>
              <m:sty m:val="p"/>
            </m:rPr>
            <m:t>arctanh</m:t>
          </m:r>
          <m:d>
            <m:dPr>
              <m:begChr m:val="("/>
              <m:endChr m:val=")"/>
              <m:sepChr m:val=""/>
              <m:grow/>
            </m:dPr>
            <m:e>
              <m:sSub>
                <m:e>
                  <m:r>
                    <m:t>r</m:t>
                  </m:r>
                </m:e>
                <m:sub>
                  <m:r>
                    <m:t>k</m:t>
                  </m:r>
                </m:sub>
              </m:sSub>
            </m:e>
          </m:d>
          <m:r>
            <m:rPr>
              <m:sty m:val="p"/>
            </m:rPr>
            <m:t>,</m:t>
          </m:r>
          <m:r>
            <m:t> </m:t>
          </m:r>
          <m:r>
            <m:rPr>
              <m:nor/>
              <m:sty m:val="p"/>
            </m:rPr>
            <m:t>SE</m:t>
          </m:r>
          <m:d>
            <m:dPr>
              <m:begChr m:val="("/>
              <m:endChr m:val=")"/>
              <m:sepChr m:val=""/>
              <m:grow/>
            </m:dPr>
            <m:e>
              <m:sSub>
                <m:e>
                  <m:r>
                    <m:t>z</m:t>
                  </m:r>
                </m:e>
                <m:sub>
                  <m:r>
                    <m:t>k</m:t>
                  </m:r>
                </m:sub>
              </m:sSub>
            </m:e>
          </m:d>
          <m:r>
            <m:rPr>
              <m:sty m:val="p"/>
            </m:rPr>
            <m:t>=</m:t>
          </m:r>
          <m:f>
            <m:fPr>
              <m:type m:val="bar"/>
            </m:fPr>
            <m:num>
              <m:r>
                <m:t>1</m:t>
              </m:r>
            </m:num>
            <m:den>
              <m:rad>
                <m:radPr>
                  <m:degHide m:val="1"/>
                </m:radPr>
                <m:deg/>
                <m:e>
                  <m:sSub>
                    <m:e>
                      <m:r>
                        <m:t>n</m:t>
                      </m:r>
                    </m:e>
                    <m:sub>
                      <m:r>
                        <m:t>k</m:t>
                      </m:r>
                    </m:sub>
                  </m:sSub>
                  <m:r>
                    <m:rPr>
                      <m:sty m:val="p"/>
                    </m:rPr>
                    <m:t>−</m:t>
                  </m:r>
                  <m:r>
                    <m:t>3</m:t>
                  </m:r>
                </m:e>
              </m:rad>
            </m:den>
          </m:f>
        </m:oMath>
      </m:oMathPara>
    </w:p>
    <w:p>
      <w:pPr>
        <w:pStyle w:val="FirstParagraph"/>
      </w:pPr>
      <w:r>
        <w:t xml:space="preserve">Fixed-effects pooling weights by inverse variance</w:t>
      </w:r>
      <w:r>
        <w:t xml:space="preserve"> </w:t>
      </w:r>
      <m:oMath>
        <m:sSub>
          <m:e>
            <m:r>
              <m:t>w</m:t>
            </m:r>
          </m:e>
          <m:sub>
            <m:r>
              <m:t>k</m:t>
            </m:r>
          </m:sub>
        </m:sSub>
        <m:r>
          <m:rPr>
            <m:sty m:val="p"/>
          </m:rPr>
          <m:t>=</m:t>
        </m:r>
        <m:r>
          <m:t>1</m:t>
        </m:r>
        <m:r>
          <m:rPr>
            <m:sty m:val="p"/>
          </m:rPr>
          <m:t>/</m:t>
        </m:r>
        <m:r>
          <m:rPr>
            <m:nor/>
            <m:sty m:val="p"/>
          </m:rPr>
          <m:t>SE</m:t>
        </m:r>
        <m:sSup>
          <m:e>
            <m:d>
              <m:dPr>
                <m:begChr m:val="("/>
                <m:endChr m:val=")"/>
                <m:sepChr m:val=""/>
                <m:grow/>
              </m:dPr>
              <m:e>
                <m:sSub>
                  <m:e>
                    <m:r>
                      <m:t>z</m:t>
                    </m:r>
                  </m:e>
                  <m:sub>
                    <m:r>
                      <m:t>k</m:t>
                    </m:r>
                  </m:sub>
                </m:sSub>
              </m:e>
            </m:d>
          </m:e>
          <m:sup>
            <m:r>
              <m:t>2</m:t>
            </m:r>
          </m:sup>
        </m:sSup>
      </m:oMath>
      <w:r>
        <w:t xml:space="preserve">. Random-effects pooling adds the DerSimonian-Laird between-study variance</w:t>
      </w:r>
      <w:r>
        <w:t xml:space="preserve"> </w:t>
      </w:r>
      <m:oMath>
        <m:sSup>
          <m:e>
            <m:r>
              <m:t>τ</m:t>
            </m:r>
          </m:e>
          <m:sup>
            <m:r>
              <m:t>2</m:t>
            </m:r>
          </m:sup>
        </m:sSup>
      </m:oMath>
      <w:r>
        <w:t xml:space="preserve">:</w:t>
      </w:r>
    </w:p>
    <w:p>
      <w:pPr>
        <w:pStyle w:val="BodyText"/>
      </w:pPr>
      <m:oMathPara>
        <m:oMathParaPr>
          <m:jc m:val="center"/>
        </m:oMathParaPr>
        <m:oMath>
          <m:sSubSup>
            <m:e>
              <m:r>
                <m:t>w</m:t>
              </m:r>
            </m:e>
            <m:sub>
              <m:r>
                <m:t>k</m:t>
              </m:r>
            </m:sub>
            <m:sup>
              <m:r>
                <m:rPr>
                  <m:sty m:val="p"/>
                </m:rPr>
                <m:t>*</m:t>
              </m:r>
            </m:sup>
          </m:sSubSup>
          <m:r>
            <m:rPr>
              <m:sty m:val="p"/>
            </m:rPr>
            <m:t>=</m:t>
          </m:r>
          <m:f>
            <m:fPr>
              <m:type m:val="bar"/>
            </m:fPr>
            <m:num>
              <m:r>
                <m:t>1</m:t>
              </m:r>
            </m:num>
            <m:den>
              <m:r>
                <m:rPr>
                  <m:nor/>
                  <m:sty m:val="p"/>
                </m:rPr>
                <m:t>SE</m:t>
              </m:r>
              <m:sSup>
                <m:e>
                  <m:d>
                    <m:dPr>
                      <m:begChr m:val="("/>
                      <m:endChr m:val=")"/>
                      <m:sepChr m:val=""/>
                      <m:grow/>
                    </m:dPr>
                    <m:e>
                      <m:sSub>
                        <m:e>
                          <m:r>
                            <m:t>z</m:t>
                          </m:r>
                        </m:e>
                        <m:sub>
                          <m:r>
                            <m:t>k</m:t>
                          </m:r>
                        </m:sub>
                      </m:sSub>
                    </m:e>
                  </m:d>
                </m:e>
                <m:sup>
                  <m:r>
                    <m:t>2</m:t>
                  </m:r>
                </m:sup>
              </m:sSup>
              <m:r>
                <m:rPr>
                  <m:sty m:val="p"/>
                </m:rPr>
                <m:t>+</m:t>
              </m:r>
              <m:sSup>
                <m:e>
                  <m:r>
                    <m:t>τ</m:t>
                  </m:r>
                </m:e>
                <m:sup>
                  <m:r>
                    <m:t>2</m:t>
                  </m:r>
                </m:sup>
              </m:sSup>
            </m:den>
          </m:f>
          <m:r>
            <m:rPr>
              <m:sty m:val="p"/>
            </m:rPr>
            <m:t>,</m:t>
          </m:r>
          <m:r>
            <m:t> </m:t>
          </m:r>
          <m:sSup>
            <m:e>
              <m:r>
                <m:t>τ</m:t>
              </m:r>
            </m:e>
            <m:sup>
              <m:r>
                <m:t>2</m:t>
              </m:r>
            </m:sup>
          </m:sSup>
          <m:r>
            <m:rPr>
              <m:sty m:val="p"/>
            </m:rPr>
            <m:t>=</m:t>
          </m:r>
          <m:r>
            <m:rPr>
              <m:sty m:val="p"/>
            </m:rPr>
            <m:t>max</m:t>
          </m:r>
          <m:d>
            <m:dPr>
              <m:begChr m:val="("/>
              <m:endChr m:val=")"/>
              <m:sepChr m:val=""/>
              <m:grow/>
            </m:dPr>
            <m:e>
              <m:r>
                <m:t>0</m:t>
              </m:r>
              <m:r>
                <m:rPr>
                  <m:sty m:val="p"/>
                </m:rPr>
                <m:t>,</m:t>
              </m:r>
              <m:f>
                <m:fPr>
                  <m:type m:val="bar"/>
                </m:fPr>
                <m:num>
                  <m:r>
                    <m:t>Q</m:t>
                  </m:r>
                  <m:r>
                    <m:rPr>
                      <m:sty m:val="p"/>
                    </m:rPr>
                    <m:t>−</m:t>
                  </m:r>
                  <m:d>
                    <m:dPr>
                      <m:begChr m:val="("/>
                      <m:endChr m:val=")"/>
                      <m:sepChr m:val=""/>
                      <m:grow/>
                    </m:dPr>
                    <m:e>
                      <m:r>
                        <m:t>K</m:t>
                      </m:r>
                      <m:r>
                        <m:rPr>
                          <m:sty m:val="p"/>
                        </m:rPr>
                        <m:t>−</m:t>
                      </m:r>
                      <m:r>
                        <m:t>1</m:t>
                      </m:r>
                    </m:e>
                  </m:d>
                </m:num>
                <m:den>
                  <m:r>
                    <m:rPr>
                      <m:sty m:val="p"/>
                    </m:rPr>
                    <m:t>∑</m:t>
                  </m:r>
                  <m:sSub>
                    <m:e>
                      <m:r>
                        <m:t>w</m:t>
                      </m:r>
                    </m:e>
                    <m:sub>
                      <m:r>
                        <m:t>k</m:t>
                      </m:r>
                    </m:sub>
                  </m:sSub>
                  <m:r>
                    <m:rPr>
                      <m:sty m:val="p"/>
                    </m:rPr>
                    <m:t>−</m:t>
                  </m:r>
                  <m:f>
                    <m:fPr>
                      <m:type m:val="bar"/>
                    </m:fPr>
                    <m:num>
                      <m:r>
                        <m:rPr>
                          <m:sty m:val="p"/>
                        </m:rPr>
                        <m:t>∑</m:t>
                      </m:r>
                      <m:sSubSup>
                        <m:e>
                          <m:r>
                            <m:t>w</m:t>
                          </m:r>
                        </m:e>
                        <m:sub>
                          <m:r>
                            <m:t>k</m:t>
                          </m:r>
                        </m:sub>
                        <m:sup>
                          <m:r>
                            <m:t>2</m:t>
                          </m:r>
                        </m:sup>
                      </m:sSubSup>
                    </m:num>
                    <m:den>
                      <m:r>
                        <m:rPr>
                          <m:sty m:val="p"/>
                        </m:rPr>
                        <m:t>∑</m:t>
                      </m:r>
                      <m:sSub>
                        <m:e>
                          <m:r>
                            <m:t>w</m:t>
                          </m:r>
                        </m:e>
                        <m:sub>
                          <m:r>
                            <m:t>k</m:t>
                          </m:r>
                        </m:sub>
                      </m:sSub>
                    </m:den>
                  </m:f>
                </m:den>
              </m:f>
            </m:e>
          </m:d>
        </m:oMath>
      </m:oMathPara>
    </w:p>
    <w:p>
      <w:pPr>
        <w:pStyle w:val="FirstParagraph"/>
      </w:pPr>
      <w:r>
        <w:t xml:space="preserve">where</w:t>
      </w:r>
      <w:r>
        <w:t xml:space="preserve"> </w:t>
      </w:r>
      <m:oMath>
        <m:r>
          <m:t>Q</m:t>
        </m:r>
        <m:r>
          <m:rPr>
            <m:sty m:val="p"/>
          </m:rPr>
          <m:t>=</m:t>
        </m:r>
        <m:nary>
          <m:naryPr>
            <m:chr m:val="∑"/>
            <m:limLoc m:val="undOvr"/>
            <m:subHide m:val="0"/>
            <m:supHide m:val="1"/>
          </m:naryPr>
          <m:sub>
            <m:r>
              <m:t>k</m:t>
            </m:r>
          </m:sub>
          <m:sup>
            <m:r>
              <m:t>​</m:t>
            </m:r>
          </m:sup>
          <m:e>
            <m:sSub>
              <m:e>
                <m:r>
                  <m:t>w</m:t>
                </m:r>
              </m:e>
              <m:sub>
                <m:r>
                  <m:t>k</m:t>
                </m:r>
              </m:sub>
            </m:sSub>
          </m:e>
        </m:nary>
        <m:sSup>
          <m:e>
            <m:d>
              <m:dPr>
                <m:begChr m:val="("/>
                <m:endChr m:val=")"/>
                <m:sepChr m:val=""/>
                <m:grow/>
              </m:dPr>
              <m:e>
                <m:sSub>
                  <m:e>
                    <m:r>
                      <m:t>z</m:t>
                    </m:r>
                  </m:e>
                  <m:sub>
                    <m:r>
                      <m:t>k</m:t>
                    </m:r>
                  </m:sub>
                </m:sSub>
                <m:r>
                  <m:rPr>
                    <m:sty m:val="p"/>
                  </m:rPr>
                  <m:t>−</m:t>
                </m:r>
                <m:acc>
                  <m:accPr>
                    <m:chr m:val="‾"/>
                  </m:accPr>
                  <m:e>
                    <m:r>
                      <m:t>z</m:t>
                    </m:r>
                  </m:e>
                </m:acc>
              </m:e>
            </m:d>
          </m:e>
          <m:sup>
            <m:r>
              <m:t>2</m:t>
            </m:r>
          </m:sup>
        </m:sSup>
      </m:oMath>
      <w:r>
        <w:t xml:space="preserve"> </w:t>
      </w:r>
      <w:r>
        <w:t xml:space="preserve">is the homogeneity statistic. Heterogeneity is quantified by</w:t>
      </w:r>
      <w:r>
        <w:t xml:space="preserve"> </w:t>
      </w:r>
      <m:oMath>
        <m:sSup>
          <m:e>
            <m:r>
              <m:t>I</m:t>
            </m:r>
          </m:e>
          <m:sup>
            <m:r>
              <m:t>2</m:t>
            </m:r>
          </m:sup>
        </m:sSup>
        <m:r>
          <m:rPr>
            <m:sty m:val="p"/>
          </m:rPr>
          <m:t>=</m:t>
        </m:r>
        <m:r>
          <m:rPr>
            <m:sty m:val="p"/>
          </m:rPr>
          <m:t>max</m:t>
        </m:r>
        <m:d>
          <m:dPr>
            <m:begChr m:val="("/>
            <m:endChr m:val=")"/>
            <m:sepChr m:val=""/>
            <m:grow/>
          </m:dPr>
          <m:e>
            <m:r>
              <m:t>0</m:t>
            </m:r>
            <m:r>
              <m:rPr>
                <m:sty m:val="p"/>
              </m:rPr>
              <m:t>,</m:t>
            </m:r>
            <m:d>
              <m:dPr>
                <m:begChr m:val="("/>
                <m:endChr m:val=")"/>
                <m:sepChr m:val=""/>
                <m:grow/>
              </m:dPr>
              <m:e>
                <m:r>
                  <m:t>Q</m:t>
                </m:r>
                <m:r>
                  <m:rPr>
                    <m:sty m:val="p"/>
                  </m:rPr>
                  <m:t>−</m:t>
                </m:r>
                <m:d>
                  <m:dPr>
                    <m:begChr m:val="("/>
                    <m:endChr m:val=")"/>
                    <m:sepChr m:val=""/>
                    <m:grow/>
                  </m:dPr>
                  <m:e>
                    <m:r>
                      <m:t>K</m:t>
                    </m:r>
                    <m:r>
                      <m:rPr>
                        <m:sty m:val="p"/>
                      </m:rPr>
                      <m:t>−</m:t>
                    </m:r>
                    <m:r>
                      <m:t>1</m:t>
                    </m:r>
                  </m:e>
                </m:d>
              </m:e>
            </m:d>
            <m:r>
              <m:rPr>
                <m:sty m:val="p"/>
              </m:rPr>
              <m:t>/</m:t>
            </m:r>
            <m:r>
              <m:t>Q</m:t>
            </m:r>
            <m:r>
              <m:rPr>
                <m:sty m:val="p"/>
              </m:rPr>
              <m:t>×</m:t>
            </m:r>
            <m:r>
              <m:t>100</m:t>
            </m:r>
            <m:r>
              <m:rPr>
                <m:sty m:val="p"/>
              </m:rPr>
              <m:t>%</m:t>
            </m:r>
          </m:e>
        </m:d>
      </m:oMath>
      <w:r>
        <w:t xml:space="preserve">. Welz et al.</w:t>
      </w:r>
      <w:r>
        <w:t xml:space="preserve"> </w:t>
      </w:r>
      <w:r>
        <w:t xml:space="preserve">have shown that standard confidence intervals for the Fisher z approach can be unsatisfactory in random-effects settings, motivating enhanced variance estimators.</w:t>
      </w:r>
    </w:p>
    <w:bookmarkEnd w:id="23"/>
    <w:bookmarkEnd w:id="24"/>
    <w:bookmarkStart w:id="28" w:name="methods"/>
    <w:p>
      <w:pPr>
        <w:pStyle w:val="Heading1"/>
      </w:pPr>
      <w:r>
        <w:t xml:space="preserve">Methods</w:t>
      </w:r>
    </w:p>
    <w:bookmarkStart w:id="25" w:name="benchmark-datasets"/>
    <w:p>
      <w:pPr>
        <w:pStyle w:val="Heading2"/>
      </w:pPr>
      <w:r>
        <w:t xml:space="preserve">Benchmark datasets</w:t>
      </w:r>
    </w:p>
    <w:p>
      <w:pPr>
        <w:pStyle w:val="FirstParagraph"/>
      </w:pPr>
      <w:r>
        <w:t xml:space="preserve">We compiled experimental elastic constants (</w:t>
      </w:r>
      <m:oMath>
        <m:sSub>
          <m:e>
            <m:r>
              <m:t>C</m:t>
            </m:r>
          </m:e>
          <m:sub>
            <m:r>
              <m:t>11</m:t>
            </m:r>
          </m:sub>
        </m:sSub>
      </m:oMath>
      <w:r>
        <w:t xml:space="preserve">,</w:t>
      </w:r>
      <w:r>
        <w:t xml:space="preserve"> </w:t>
      </w:r>
      <m:oMath>
        <m:sSub>
          <m:e>
            <m:r>
              <m:t>C</m:t>
            </m:r>
          </m:e>
          <m:sub>
            <m:r>
              <m:t>12</m:t>
            </m:r>
          </m:sub>
        </m:sSub>
      </m:oMath>
      <w:r>
        <w:t xml:space="preserve">,</w:t>
      </w:r>
      <w:r>
        <w:t xml:space="preserve"> </w:t>
      </w:r>
      <m:oMath>
        <m:sSub>
          <m:e>
            <m:r>
              <m:t>C</m:t>
            </m:r>
          </m:e>
          <m:sub>
            <m:r>
              <m:t>44</m:t>
            </m:r>
          </m:sub>
        </m:sSub>
      </m:oMath>
      <w:r>
        <w:t xml:space="preserve">) for 15 benchmark metals:</w:t>
      </w:r>
    </w:p>
    <w:p>
      <w:pPr>
        <w:numPr>
          <w:ilvl w:val="0"/>
          <w:numId w:val="1002"/>
        </w:numPr>
      </w:pPr>
      <w:r>
        <w:rPr>
          <w:bCs/>
          <w:b/>
        </w:rPr>
        <w:t xml:space="preserve">FCC metals</w:t>
      </w:r>
      <w:r>
        <w:t xml:space="preserve"> </w:t>
      </w:r>
      <w:r>
        <w:t xml:space="preserve">(8 elements): Al, Cu, Ni, Ag, Au, Pt, Pd, Pb</w:t>
      </w:r>
    </w:p>
    <w:p>
      <w:pPr>
        <w:numPr>
          <w:ilvl w:val="0"/>
          <w:numId w:val="1002"/>
        </w:numPr>
      </w:pPr>
      <w:r>
        <w:rPr>
          <w:bCs/>
          <w:b/>
        </w:rPr>
        <w:t xml:space="preserve">BCC metals</w:t>
      </w:r>
      <w:r>
        <w:t xml:space="preserve"> </w:t>
      </w:r>
      <w:r>
        <w:t xml:space="preserve">(7 elements): Fe, Cr, Mo, W, V, Nb, Ta</w:t>
      </w:r>
    </w:p>
    <w:p>
      <w:pPr>
        <w:pStyle w:val="FirstParagraph"/>
      </w:pPr>
      <w:r>
        <w:t xml:space="preserve">Reference values are taken from the single-crystal elastic constants handbook of Simmons and Wang</w:t>
      </w:r>
      <w:r>
        <w:t xml:space="preserve">. Predictions were obtained by querying the OpenKIM repository</w:t>
      </w:r>
      <w:r>
        <w:t xml:space="preserve"> </w:t>
      </w:r>
      <w:r>
        <w:t xml:space="preserve">for pre-computed isothermal elastic constants across all available KIM-verified interatomic models. A total of 965 KIM models were queried, yielding 559 physically reasonable elastic constant sets after Born stability filtering (</w:t>
      </w:r>
      <m:oMath>
        <m:sSub>
          <m:e>
            <m:r>
              <m:t>C</m:t>
            </m:r>
          </m:e>
          <m:sub>
            <m:r>
              <m:t>11</m:t>
            </m:r>
          </m:sub>
        </m:sSub>
        <m:r>
          <m:rPr>
            <m:sty m:val="p"/>
          </m:rPr>
          <m:t>&gt;</m:t>
        </m:r>
        <m:r>
          <m:t>0</m:t>
        </m:r>
      </m:oMath>
      <w:r>
        <w:t xml:space="preserve">,</w:t>
      </w:r>
      <w:r>
        <w:t xml:space="preserve"> </w:t>
      </w:r>
      <m:oMath>
        <m:sSub>
          <m:e>
            <m:r>
              <m:t>C</m:t>
            </m:r>
          </m:e>
          <m:sub>
            <m:r>
              <m:t>44</m:t>
            </m:r>
          </m:sub>
        </m:sSub>
        <m:r>
          <m:rPr>
            <m:sty m:val="p"/>
          </m:rPr>
          <m:t>&gt;</m:t>
        </m:r>
        <m:r>
          <m:t>0</m:t>
        </m:r>
      </m:oMath>
      <w:r>
        <w:t xml:space="preserve">,</w:t>
      </w:r>
      <w:r>
        <w:t xml:space="preserve"> </w:t>
      </w:r>
      <m:oMath>
        <m:sSub>
          <m:e>
            <m:r>
              <m:t>C</m:t>
            </m:r>
          </m:e>
          <m:sub>
            <m:r>
              <m:t>11</m:t>
            </m:r>
          </m:sub>
        </m:sSub>
        <m:r>
          <m:rPr>
            <m:sty m:val="p"/>
          </m:rPr>
          <m:t>&gt;</m:t>
        </m:r>
        <m:d>
          <m:dPr>
            <m:begChr m:val="|"/>
            <m:endChr m:val="|"/>
            <m:sepChr m:val=""/>
            <m:grow/>
          </m:dPr>
          <m:e>
            <m:sSub>
              <m:e>
                <m:r>
                  <m:t>C</m:t>
                </m:r>
              </m:e>
              <m:sub>
                <m:r>
                  <m:t>12</m:t>
                </m:r>
              </m:sub>
            </m:sSub>
          </m:e>
        </m:d>
      </m:oMath>
      <w:r>
        <w:t xml:space="preserve">). Each result was cross-referenced against the NIST Interatomic Potentials Repository (IPR) using fuzzy author/year matching, producing 345 high-confidence matches with pair_style provenance across 13 potential families: EAM, EAM/alloy, EAM/fs, MEAM, ADP, Tersoff, Tersoff/ZBL, BOP, hybrid/overlay, and others. The final benchmark dataset comprises 1,677 rows (559 potentials</w:t>
      </w:r>
      <w:r>
        <w:t xml:space="preserve"> </w:t>
      </w:r>
      <m:oMath>
        <m:r>
          <m:rPr>
            <m:sty m:val="p"/>
          </m:rPr>
          <m:t>×</m:t>
        </m:r>
      </m:oMath>
      <w:r>
        <w:t xml:space="preserve"> </w:t>
      </w:r>
      <w:r>
        <w:t xml:space="preserve">3 elastic constants).</w:t>
      </w:r>
    </w:p>
    <w:bookmarkEnd w:id="25"/>
    <w:bookmarkStart w:id="26" w:name="software-implementation"/>
    <w:p>
      <w:pPr>
        <w:pStyle w:val="Heading2"/>
      </w:pPr>
      <w:r>
        <w:t xml:space="preserve">Software implementation</w:t>
      </w:r>
    </w:p>
    <w:p>
      <w:pPr>
        <w:pStyle w:val="FirstParagraph"/>
      </w:pPr>
      <w:r>
        <w:t xml:space="preserve">All analyses were performed using</w:t>
      </w:r>
      <w:r>
        <w:t xml:space="preserve"> </w:t>
      </w:r>
      <w:r>
        <w:rPr>
          <w:rStyle w:val="VerbatimChar"/>
        </w:rPr>
        <w:t xml:space="preserve">atlas-distill</w:t>
      </w:r>
      <w:r>
        <w:t xml:space="preserve"> </w:t>
      </w:r>
      <w:r>
        <w:t xml:space="preserve">v0.1.0, a Rust engine built on</w:t>
      </w:r>
      <w:r>
        <w:t xml:space="preserve"> </w:t>
      </w:r>
      <w:r>
        <w:rPr>
          <w:rStyle w:val="VerbatimChar"/>
        </w:rPr>
        <w:t xml:space="preserve">nalgebra</w:t>
      </w:r>
      <w:r>
        <w:t xml:space="preserve"> </w:t>
      </w:r>
      <w:r>
        <w:t xml:space="preserve">for linear algebra,</w:t>
      </w:r>
      <w:r>
        <w:t xml:space="preserve"> </w:t>
      </w:r>
      <w:r>
        <w:rPr>
          <w:rStyle w:val="VerbatimChar"/>
        </w:rPr>
        <w:t xml:space="preserve">serde</w:t>
      </w:r>
      <w:r>
        <w:t xml:space="preserve"> </w:t>
      </w:r>
      <w:r>
        <w:t xml:space="preserve">for serialization, and</w:t>
      </w:r>
      <w:r>
        <w:t xml:space="preserve"> </w:t>
      </w:r>
      <w:r>
        <w:rPr>
          <w:rStyle w:val="VerbatimChar"/>
        </w:rPr>
        <w:t xml:space="preserve">clap</w:t>
      </w:r>
      <w:r>
        <w:t xml:space="preserve"> </w:t>
      </w:r>
      <w:r>
        <w:t xml:space="preserve">for CLI orchestration. Key modules:</w:t>
      </w:r>
    </w:p>
    <w:p>
      <w:pPr>
        <w:numPr>
          <w:ilvl w:val="0"/>
          <w:numId w:val="1003"/>
        </w:numPr>
      </w:pPr>
      <w:r>
        <w:rPr>
          <w:rStyle w:val="VerbatimChar"/>
        </w:rPr>
        <w:t xml:space="preserve">stats.rs</w:t>
      </w:r>
      <w:r>
        <w:t xml:space="preserve"> </w:t>
      </w:r>
      <w:r>
        <w:t xml:space="preserve">— PCA/SVD, covariance, Fisher z-transform, bootstrap CI, Mann-Kendall trend test</w:t>
      </w:r>
    </w:p>
    <w:p>
      <w:pPr>
        <w:numPr>
          <w:ilvl w:val="0"/>
          <w:numId w:val="1003"/>
        </w:numPr>
      </w:pPr>
      <w:r>
        <w:rPr>
          <w:rStyle w:val="VerbatimChar"/>
        </w:rPr>
        <w:t xml:space="preserve">manifold.rs</w:t>
      </w:r>
      <w:r>
        <w:t xml:space="preserve"> </w:t>
      </w:r>
      <w:r>
        <w:t xml:space="preserve">— Error vector construction, eigenvalue analysis, hyper-ribbon detection</w:t>
      </w:r>
    </w:p>
    <w:p>
      <w:pPr>
        <w:numPr>
          <w:ilvl w:val="0"/>
          <w:numId w:val="1003"/>
        </w:numPr>
      </w:pPr>
      <w:r>
        <w:rPr>
          <w:rStyle w:val="VerbatimChar"/>
        </w:rPr>
        <w:t xml:space="preserve">meta_analysis.rs</w:t>
      </w:r>
      <w:r>
        <w:t xml:space="preserve"> </w:t>
      </w:r>
      <w:r>
        <w:t xml:space="preserve">— Fixed/random-effects meta-analysis with DerSimonian-Laird</w:t>
      </w:r>
      <w:r>
        <w:t xml:space="preserve"> </w:t>
      </w:r>
      <m:oMath>
        <m:sSup>
          <m:e>
            <m:r>
              <m:t>τ</m:t>
            </m:r>
          </m:e>
          <m:sup>
            <m:r>
              <m:t>2</m:t>
            </m:r>
          </m:sup>
        </m:sSup>
      </m:oMath>
    </w:p>
    <w:p>
      <w:pPr>
        <w:numPr>
          <w:ilvl w:val="0"/>
          <w:numId w:val="1003"/>
        </w:numPr>
      </w:pPr>
      <w:r>
        <w:rPr>
          <w:rStyle w:val="VerbatimChar"/>
        </w:rPr>
        <w:t xml:space="preserve">causal.rs</w:t>
      </w:r>
      <w:r>
        <w:t xml:space="preserve"> </w:t>
      </w:r>
      <w:r>
        <w:t xml:space="preserve">— Simpson’s paradox detection with reversal magnitude and ecological fallacy markers</w:t>
      </w:r>
    </w:p>
    <w:p>
      <w:pPr>
        <w:numPr>
          <w:ilvl w:val="0"/>
          <w:numId w:val="1003"/>
        </w:numPr>
      </w:pPr>
      <w:r>
        <w:rPr>
          <w:rStyle w:val="VerbatimChar"/>
        </w:rPr>
        <w:t xml:space="preserve">validation.rs</w:t>
      </w:r>
      <w:r>
        <w:t xml:space="preserve"> </w:t>
      </w:r>
      <w:r>
        <w:t xml:space="preserve">— Multi-potential benchmark harness with per-material and per-property metrics</w:t>
      </w:r>
    </w:p>
    <w:p>
      <w:pPr>
        <w:pStyle w:val="FirstParagraph"/>
      </w:pPr>
      <w:r>
        <w:t xml:space="preserve">Bootstrap uncertainty quantification used 500 resamples with replacement and percentile confidence intervals (</w:t>
      </w:r>
      <m:oMath>
        <m:r>
          <m:t>α</m:t>
        </m:r>
        <m:r>
          <m:rPr>
            <m:sty m:val="p"/>
          </m:rPr>
          <m:t>=</m:t>
        </m:r>
        <m:r>
          <m:t>0.05</m:t>
        </m:r>
      </m:oMath>
      <w:r>
        <w:t xml:space="preserve">). Data acquisition scripts</w:t>
      </w:r>
      <w:r>
        <w:t xml:space="preserve"> </w:t>
      </w:r>
      <w:r>
        <w:rPr>
          <w:rStyle w:val="VerbatimChar"/>
        </w:rPr>
        <w:t xml:space="preserve">openkim_elastic_fetch.py</w:t>
      </w:r>
      <w:r>
        <w:t xml:space="preserve"> </w:t>
      </w:r>
      <w:r>
        <w:t xml:space="preserve">implement rate-limited API querying with local caching for full reproducibility.</w:t>
      </w:r>
    </w:p>
    <w:bookmarkEnd w:id="26"/>
    <w:bookmarkStart w:id="27" w:name="figure-generation"/>
    <w:p>
      <w:pPr>
        <w:pStyle w:val="Heading2"/>
      </w:pPr>
      <w:r>
        <w:t xml:space="preserve">Figure generation</w:t>
      </w:r>
    </w:p>
    <w:p>
      <w:pPr>
        <w:pStyle w:val="FirstParagraph"/>
      </w:pPr>
      <w:r>
        <w:t xml:space="preserve">Publication-quality figures were generated using Matplotlib v3.8 with custom color palettes. All figures are 300 DPI and sized for single-column (8.5 cm) or double-column (17.8 cm) publication. Reproducible generation scripts are included in the repository.</w:t>
      </w:r>
    </w:p>
    <w:bookmarkEnd w:id="27"/>
    <w:bookmarkEnd w:id="28"/>
    <w:bookmarkStart w:id="40" w:name="results"/>
    <w:p>
      <w:pPr>
        <w:pStyle w:val="Heading1"/>
      </w:pPr>
      <w:r>
        <w:t xml:space="preserve">Results</w:t>
      </w:r>
    </w:p>
    <w:bookmarkStart w:id="30" w:name="universal-hyper-ribbon-structure"/>
    <w:p>
      <w:pPr>
        <w:pStyle w:val="Heading2"/>
      </w:pPr>
      <w:r>
        <w:t xml:space="preserve">Universal hyper-ribbon structure</w:t>
      </w:r>
    </w:p>
    <w:p>
      <w:pPr>
        <w:pStyle w:val="FirstParagraph"/>
      </w:pPr>
      <w:r>
        <w:t xml:space="preserve">Table </w:t>
      </w:r>
      <w:hyperlink w:anchor="tab:hyperribbon">
        <w:r>
          <w:rPr>
            <w:rStyle w:val="Hyperlink"/>
          </w:rPr>
          <w:t xml:space="preserve">1</w:t>
        </w:r>
      </w:hyperlink>
      <w:r>
        <w:t xml:space="preserve"> </w:t>
      </w:r>
      <w:r>
        <w:t xml:space="preserve">summarizes the hyper-ribbon analysis for representative potentials from the 559-potential dataset. All potentials satisfy the hyper-ribbon criteria: strong monotonic decay (</w:t>
      </w:r>
      <m:oMath>
        <m:r>
          <m:t>τ</m:t>
        </m:r>
        <m:r>
          <m:rPr>
            <m:sty m:val="p"/>
          </m:rPr>
          <m:t>=</m:t>
        </m:r>
        <m:r>
          <m:rPr>
            <m:sty m:val="p"/>
          </m:rPr>
          <m:t>−</m:t>
        </m:r>
        <m:r>
          <m:t>1.000</m:t>
        </m:r>
      </m:oMath>
      <w:r>
        <w:t xml:space="preserve">), high log-linearity (</w:t>
      </w:r>
      <m:oMath>
        <m:sSup>
          <m:e>
            <m:r>
              <m:t>R</m:t>
            </m:r>
          </m:e>
          <m:sup>
            <m:r>
              <m:t>2</m:t>
            </m:r>
          </m:sup>
        </m:sSup>
        <m:r>
          <m:rPr>
            <m:sty m:val="p"/>
          </m:rPr>
          <m:t>&gt;</m:t>
        </m:r>
        <m:r>
          <m:t>0.82</m:t>
        </m:r>
      </m:oMath>
      <w:r>
        <w:t xml:space="preserve">), and fractional dimensionality</w:t>
      </w:r>
      <w:r>
        <w:t xml:space="preserve"> </w:t>
      </w:r>
      <m:oMath>
        <m:r>
          <m:rPr>
            <m:sty m:val="p"/>
          </m:rPr>
          <m:t>&lt;</m:t>
        </m:r>
        <m:r>
          <m:t>0.9</m:t>
        </m:r>
      </m:oMath>
      <w:r>
        <w:t xml:space="preserve">. Across the full dataset, the participation ratio ranges from</w:t>
      </w:r>
      <w:r>
        <w:t xml:space="preserve"> </w:t>
      </w:r>
      <m:oMath>
        <m:r>
          <m:t>1.05</m:t>
        </m:r>
      </m:oMath>
      <w:r>
        <w:t xml:space="preserve"> </w:t>
      </w:r>
      <w:r>
        <w:t xml:space="preserve">to</w:t>
      </w:r>
      <w:r>
        <w:t xml:space="preserve"> </w:t>
      </w:r>
      <m:oMath>
        <m:r>
          <m:t>1.86</m:t>
        </m:r>
      </m:oMath>
      <w:r>
        <w:t xml:space="preserve"> </w:t>
      </w:r>
      <w:r>
        <w:t xml:space="preserve">out of</w:t>
      </w:r>
      <w:r>
        <w:t xml:space="preserve"> </w:t>
      </w:r>
      <m:oMath>
        <m:r>
          <m:t>3</m:t>
        </m:r>
      </m:oMath>
      <w:r>
        <w:t xml:space="preserve">, with a median of</w:t>
      </w:r>
      <w:r>
        <w:t xml:space="preserve"> </w:t>
      </w:r>
      <m:oMath>
        <m:r>
          <m:t>1.38</m:t>
        </m:r>
      </m:oMath>
      <w:r>
        <w:t xml:space="preserve">.</w:t>
      </w:r>
    </w:p>
    <w:bookmarkStart w:id="29" w:name="tab:hyperribbon"/>
    <w:p>
      <w:pPr>
        <w:pStyle w:val="TableCaption"/>
      </w:pPr>
      <w:r>
        <w:t xml:space="preserve">Hyper-ribbon classification for representative multi-element potentials from the 559-potential NIST/OpenKIM dataset.</w:t>
      </w:r>
    </w:p>
    <w:tbl>
      <w:tblPr>
        <w:tblStyle w:val="Table"/>
        <w:tblW w:type="auto" w:w="0"/>
        <w:tblLook w:firstRow="1" w:lastRow="0" w:firstColumn="0" w:lastColumn="0" w:noHBand="0" w:noVBand="0" w:val="0020"/>
        <w:tblCaption w:val="Hyper-ribbon classification for representative multi-element potentials from the 559-potential NIST/OpenKIM dataset."/>
      </w:tblPr>
      <w:tblGrid>
        <w:gridCol w:w="1131"/>
        <w:gridCol w:w="1131"/>
        <w:gridCol w:w="1131"/>
        <w:gridCol w:w="1131"/>
        <w:gridCol w:w="1131"/>
        <w:gridCol w:w="1131"/>
        <w:gridCol w:w="1131"/>
      </w:tblGrid>
      <w:tr>
        <w:trPr>
          <w:tblHeader w:val="true"/>
        </w:trPr>
        <w:tc>
          <w:tcPr/>
          <w:p>
            <w:pPr>
              <w:pStyle w:val="Compact"/>
              <w:jc w:val="left"/>
            </w:pPr>
            <w:r>
              <w:t xml:space="preserve">Potential</w:t>
            </w:r>
          </w:p>
        </w:tc>
        <w:tc>
          <w:tcPr/>
          <w:p>
            <w:pPr>
              <w:pStyle w:val="Compact"/>
              <w:jc w:val="center"/>
            </w:pPr>
            <m:oMath>
              <m:r>
                <m:t>n</m:t>
              </m:r>
            </m:oMath>
          </w:p>
        </w:tc>
        <w:tc>
          <w:tcPr/>
          <w:p>
            <w:pPr>
              <w:pStyle w:val="Compact"/>
              <w:jc w:val="center"/>
            </w:pPr>
            <w:r>
              <w:t xml:space="preserve">PR</w:t>
            </w:r>
          </w:p>
        </w:tc>
        <w:tc>
          <w:tcPr/>
          <w:p>
            <w:pPr>
              <w:pStyle w:val="Compact"/>
              <w:jc w:val="center"/>
            </w:pPr>
            <w:r>
              <w:t xml:space="preserve">PR</w:t>
            </w:r>
            <m:oMath>
              <m:sSub>
                <m:e>
                  <m:r>
                    <m:t>​</m:t>
                  </m:r>
                </m:e>
                <m:sub>
                  <m:r>
                    <m:t>95</m:t>
                  </m:r>
                  <m:r>
                    <m:rPr>
                      <m:sty m:val="p"/>
                    </m:rPr>
                    <m:t>%</m:t>
                  </m:r>
                </m:sub>
              </m:sSub>
            </m:oMath>
            <w:r>
              <w:t xml:space="preserve"> </w:t>
            </w:r>
            <w:r>
              <w:t xml:space="preserve">CI</w:t>
            </w:r>
          </w:p>
        </w:tc>
        <w:tc>
          <w:tcPr/>
          <w:p>
            <w:pPr>
              <w:pStyle w:val="Compact"/>
              <w:jc w:val="center"/>
            </w:pPr>
            <m:oMath>
              <m:sSubSup>
                <m:e>
                  <m:r>
                    <m:t>R</m:t>
                  </m:r>
                </m:e>
                <m:sub>
                  <m:r>
                    <m:rPr>
                      <m:nor/>
                      <m:sty m:val="p"/>
                    </m:rPr>
                    <m:t>log</m:t>
                  </m:r>
                </m:sub>
                <m:sup>
                  <m:r>
                    <m:t>2</m:t>
                  </m:r>
                </m:sup>
              </m:sSubSup>
            </m:oMath>
          </w:p>
        </w:tc>
        <w:tc>
          <w:tcPr/>
          <w:p>
            <w:pPr>
              <w:pStyle w:val="Compact"/>
              <w:jc w:val="center"/>
            </w:pPr>
            <m:oMath>
              <m:r>
                <m:t>τ</m:t>
              </m:r>
            </m:oMath>
          </w:p>
        </w:tc>
        <w:tc>
          <w:tcPr/>
          <w:p>
            <w:pPr>
              <w:pStyle w:val="Compact"/>
              <w:jc w:val="center"/>
            </w:pPr>
            <w:r>
              <w:t xml:space="preserve">Ribbon?</w:t>
            </w:r>
          </w:p>
        </w:tc>
      </w:tr>
      <w:tr>
        <w:tc>
          <w:tcPr/>
          <w:p>
            <w:pPr>
              <w:pStyle w:val="Compact"/>
              <w:jc w:val="left"/>
            </w:pPr>
            <w:r>
              <w:t xml:space="preserve">Mahata-2022</w:t>
            </w:r>
          </w:p>
        </w:tc>
        <w:tc>
          <w:tcPr/>
          <w:p>
            <w:pPr>
              <w:pStyle w:val="Compact"/>
              <w:jc w:val="center"/>
            </w:pPr>
            <w:r>
              <w:t xml:space="preserve">3</w:t>
            </w:r>
          </w:p>
        </w:tc>
        <w:tc>
          <w:tcPr/>
          <w:p>
            <w:pPr>
              <w:pStyle w:val="Compact"/>
              <w:jc w:val="center"/>
            </w:pPr>
            <w:r>
              <w:t xml:space="preserve">1.05</w:t>
            </w:r>
          </w:p>
        </w:tc>
        <w:tc>
          <w:tcPr/>
          <w:p>
            <w:pPr>
              <w:pStyle w:val="Compact"/>
              <w:jc w:val="center"/>
            </w:pPr>
            <w:r>
              <w:t xml:space="preserve">[1.00, 1.92]</w:t>
            </w:r>
          </w:p>
        </w:tc>
        <w:tc>
          <w:tcPr/>
          <w:p>
            <w:pPr>
              <w:pStyle w:val="Compact"/>
              <w:jc w:val="center"/>
            </w:pPr>
            <w:r>
              <w:t xml:space="preserve">0.995</w:t>
            </w:r>
          </w:p>
        </w:tc>
        <w:tc>
          <w:tcPr/>
          <w:p>
            <w:pPr>
              <w:pStyle w:val="Compact"/>
              <w:jc w:val="center"/>
            </w:pPr>
            <m:oMath>
              <m:r>
                <m:rPr>
                  <m:sty m:val="p"/>
                </m:rPr>
                <m:t>−</m:t>
              </m:r>
              <m:r>
                <m:t>1.000</m:t>
              </m:r>
            </m:oMath>
          </w:p>
        </w:tc>
        <w:tc>
          <w:tcPr/>
          <w:p>
            <w:pPr>
              <w:pStyle w:val="Compact"/>
              <w:jc w:val="center"/>
            </w:pPr>
            <w:r>
              <w:t xml:space="preserve">Yes</w:t>
            </w:r>
          </w:p>
        </w:tc>
      </w:tr>
      <w:tr>
        <w:tc>
          <w:tcPr/>
          <w:p>
            <w:pPr>
              <w:pStyle w:val="Compact"/>
              <w:jc w:val="left"/>
            </w:pPr>
            <w:r>
              <w:t xml:space="preserve">Etesami-2018</w:t>
            </w:r>
          </w:p>
        </w:tc>
        <w:tc>
          <w:tcPr/>
          <w:p>
            <w:pPr>
              <w:pStyle w:val="Compact"/>
              <w:jc w:val="center"/>
            </w:pPr>
            <w:r>
              <w:t xml:space="preserve">4</w:t>
            </w:r>
          </w:p>
        </w:tc>
        <w:tc>
          <w:tcPr/>
          <w:p>
            <w:pPr>
              <w:pStyle w:val="Compact"/>
              <w:jc w:val="center"/>
            </w:pPr>
            <w:r>
              <w:t xml:space="preserve">1.11</w:t>
            </w:r>
          </w:p>
        </w:tc>
        <w:tc>
          <w:tcPr/>
          <w:p>
            <w:pPr>
              <w:pStyle w:val="Compact"/>
              <w:jc w:val="center"/>
            </w:pPr>
            <w:r>
              <w:t xml:space="preserve">[1.02, 1.95]</w:t>
            </w:r>
          </w:p>
        </w:tc>
        <w:tc>
          <w:tcPr/>
          <w:p>
            <w:pPr>
              <w:pStyle w:val="Compact"/>
              <w:jc w:val="center"/>
            </w:pPr>
            <w:r>
              <w:t xml:space="preserve">0.873</w:t>
            </w:r>
          </w:p>
        </w:tc>
        <w:tc>
          <w:tcPr/>
          <w:p>
            <w:pPr>
              <w:pStyle w:val="Compact"/>
              <w:jc w:val="center"/>
            </w:pPr>
            <m:oMath>
              <m:r>
                <m:rPr>
                  <m:sty m:val="p"/>
                </m:rPr>
                <m:t>−</m:t>
              </m:r>
              <m:r>
                <m:t>1.000</m:t>
              </m:r>
            </m:oMath>
          </w:p>
        </w:tc>
        <w:tc>
          <w:tcPr/>
          <w:p>
            <w:pPr>
              <w:pStyle w:val="Compact"/>
              <w:jc w:val="center"/>
            </w:pPr>
            <w:r>
              <w:t xml:space="preserve">Yes</w:t>
            </w:r>
          </w:p>
        </w:tc>
      </w:tr>
      <w:tr>
        <w:tc>
          <w:tcPr/>
          <w:p>
            <w:pPr>
              <w:pStyle w:val="Compact"/>
              <w:jc w:val="left"/>
            </w:pPr>
            <w:r>
              <w:t xml:space="preserve">Bonny-2013</w:t>
            </w:r>
          </w:p>
        </w:tc>
        <w:tc>
          <w:tcPr/>
          <w:p>
            <w:pPr>
              <w:pStyle w:val="Compact"/>
              <w:jc w:val="center"/>
            </w:pPr>
            <w:r>
              <w:t xml:space="preserve">5</w:t>
            </w:r>
          </w:p>
        </w:tc>
        <w:tc>
          <w:tcPr/>
          <w:p>
            <w:pPr>
              <w:pStyle w:val="Compact"/>
              <w:jc w:val="center"/>
            </w:pPr>
            <w:r>
              <w:t xml:space="preserve">1.20</w:t>
            </w:r>
          </w:p>
        </w:tc>
        <w:tc>
          <w:tcPr/>
          <w:p>
            <w:pPr>
              <w:pStyle w:val="Compact"/>
              <w:jc w:val="center"/>
            </w:pPr>
            <w:r>
              <w:t xml:space="preserve">[1.01, 2.04]</w:t>
            </w:r>
          </w:p>
        </w:tc>
        <w:tc>
          <w:tcPr/>
          <w:p>
            <w:pPr>
              <w:pStyle w:val="Compact"/>
              <w:jc w:val="center"/>
            </w:pPr>
            <w:r>
              <w:t xml:space="preserve">0.969</w:t>
            </w:r>
          </w:p>
        </w:tc>
        <w:tc>
          <w:tcPr/>
          <w:p>
            <w:pPr>
              <w:pStyle w:val="Compact"/>
              <w:jc w:val="center"/>
            </w:pPr>
            <m:oMath>
              <m:r>
                <m:rPr>
                  <m:sty m:val="p"/>
                </m:rPr>
                <m:t>−</m:t>
              </m:r>
              <m:r>
                <m:t>1.000</m:t>
              </m:r>
            </m:oMath>
          </w:p>
        </w:tc>
        <w:tc>
          <w:tcPr/>
          <w:p>
            <w:pPr>
              <w:pStyle w:val="Compact"/>
              <w:jc w:val="center"/>
            </w:pPr>
            <w:r>
              <w:t xml:space="preserve">Yes</w:t>
            </w:r>
          </w:p>
        </w:tc>
      </w:tr>
      <w:tr>
        <w:tc>
          <w:tcPr/>
          <w:p>
            <w:pPr>
              <w:pStyle w:val="Compact"/>
              <w:jc w:val="left"/>
            </w:pPr>
            <w:r>
              <w:t xml:space="preserve">Bonny-2009</w:t>
            </w:r>
          </w:p>
        </w:tc>
        <w:tc>
          <w:tcPr/>
          <w:p>
            <w:pPr>
              <w:pStyle w:val="Compact"/>
              <w:jc w:val="center"/>
            </w:pPr>
            <w:r>
              <w:t xml:space="preserve">3</w:t>
            </w:r>
          </w:p>
        </w:tc>
        <w:tc>
          <w:tcPr/>
          <w:p>
            <w:pPr>
              <w:pStyle w:val="Compact"/>
              <w:jc w:val="center"/>
            </w:pPr>
            <w:r>
              <w:t xml:space="preserve">1.64</w:t>
            </w:r>
          </w:p>
        </w:tc>
        <w:tc>
          <w:tcPr/>
          <w:p>
            <w:pPr>
              <w:pStyle w:val="Compact"/>
              <w:jc w:val="center"/>
            </w:pPr>
            <w:r>
              <w:t xml:space="preserve">[1.00, 1.78]</w:t>
            </w:r>
          </w:p>
        </w:tc>
        <w:tc>
          <w:tcPr/>
          <w:p>
            <w:pPr>
              <w:pStyle w:val="Compact"/>
              <w:jc w:val="center"/>
            </w:pPr>
            <w:r>
              <w:t xml:space="preserve">0.854</w:t>
            </w:r>
          </w:p>
        </w:tc>
        <w:tc>
          <w:tcPr/>
          <w:p>
            <w:pPr>
              <w:pStyle w:val="Compact"/>
              <w:jc w:val="center"/>
            </w:pPr>
            <m:oMath>
              <m:r>
                <m:rPr>
                  <m:sty m:val="p"/>
                </m:rPr>
                <m:t>−</m:t>
              </m:r>
              <m:r>
                <m:t>1.000</m:t>
              </m:r>
            </m:oMath>
          </w:p>
        </w:tc>
        <w:tc>
          <w:tcPr/>
          <w:p>
            <w:pPr>
              <w:pStyle w:val="Compact"/>
              <w:jc w:val="center"/>
            </w:pPr>
            <w:r>
              <w:t xml:space="preserve">Yes</w:t>
            </w:r>
          </w:p>
        </w:tc>
      </w:tr>
      <w:tr>
        <w:tc>
          <w:tcPr/>
          <w:p>
            <w:pPr>
              <w:pStyle w:val="Compact"/>
              <w:jc w:val="left"/>
            </w:pPr>
            <w:r>
              <w:t xml:space="preserve">Zhou-2004</w:t>
            </w:r>
          </w:p>
        </w:tc>
        <w:tc>
          <w:tcPr/>
          <w:p>
            <w:pPr>
              <w:pStyle w:val="Compact"/>
              <w:jc w:val="center"/>
            </w:pPr>
            <w:r>
              <w:t xml:space="preserve">12</w:t>
            </w:r>
          </w:p>
        </w:tc>
        <w:tc>
          <w:tcPr/>
          <w:p>
            <w:pPr>
              <w:pStyle w:val="Compact"/>
              <w:jc w:val="center"/>
            </w:pPr>
            <w:r>
              <w:t xml:space="preserve">1.86</w:t>
            </w:r>
          </w:p>
        </w:tc>
        <w:tc>
          <w:tcPr/>
          <w:p>
            <w:pPr>
              <w:pStyle w:val="Compact"/>
              <w:jc w:val="center"/>
            </w:pPr>
            <w:r>
              <w:t xml:space="preserve">[1.01, 1.98]</w:t>
            </w:r>
          </w:p>
        </w:tc>
        <w:tc>
          <w:tcPr/>
          <w:p>
            <w:pPr>
              <w:pStyle w:val="Compact"/>
              <w:jc w:val="center"/>
            </w:pPr>
            <w:r>
              <w:t xml:space="preserve">0.824</w:t>
            </w:r>
          </w:p>
        </w:tc>
        <w:tc>
          <w:tcPr/>
          <w:p>
            <w:pPr>
              <w:pStyle w:val="Compact"/>
              <w:jc w:val="center"/>
            </w:pPr>
            <m:oMath>
              <m:r>
                <m:rPr>
                  <m:sty m:val="p"/>
                </m:rPr>
                <m:t>−</m:t>
              </m:r>
              <m:r>
                <m:t>1.000</m:t>
              </m:r>
            </m:oMath>
          </w:p>
        </w:tc>
        <w:tc>
          <w:tcPr/>
          <w:p>
            <w:pPr>
              <w:pStyle w:val="Compact"/>
              <w:jc w:val="center"/>
            </w:pPr>
            <w:r>
              <w:t xml:space="preserve">Yes</w:t>
            </w:r>
          </w:p>
        </w:tc>
      </w:tr>
    </w:tbl>
    <w:bookmarkEnd w:id="29"/>
    <w:p>
      <w:pPr>
        <w:pStyle w:val="BodyText"/>
      </w:pPr>
      <w:r>
        <w:t xml:space="preserve">The eigenvalue spectra (Fig. </w:t>
      </w:r>
      <w:hyperlink w:anchor="fig:spectra">
        <w:r>
          <w:rPr>
            <w:rStyle w:val="Hyperlink"/>
          </w:rPr>
          <w:t xml:space="preserve">1</w:t>
        </w:r>
      </w:hyperlink>
      <w:r>
        <w:t xml:space="preserve">) reveal the characteristic geometric hierarchy:</w:t>
      </w:r>
      <w:r>
        <w:t xml:space="preserve"> </w:t>
      </w:r>
      <m:oMath>
        <m:sSub>
          <m:e>
            <m:r>
              <m:t>λ</m:t>
            </m:r>
          </m:e>
          <m:sub>
            <m:r>
              <m:t>1</m:t>
            </m:r>
          </m:sub>
        </m:sSub>
        <m:r>
          <m:rPr>
            <m:sty m:val="p"/>
          </m:rPr>
          <m:t>≫</m:t>
        </m:r>
        <m:sSub>
          <m:e>
            <m:r>
              <m:t>λ</m:t>
            </m:r>
          </m:e>
          <m:sub>
            <m:r>
              <m:t>2</m:t>
            </m:r>
          </m:sub>
        </m:sSub>
        <m:r>
          <m:rPr>
            <m:sty m:val="p"/>
          </m:rPr>
          <m:t>≫</m:t>
        </m:r>
        <m:sSub>
          <m:e>
            <m:r>
              <m:t>λ</m:t>
            </m:r>
          </m:e>
          <m:sub>
            <m:r>
              <m:t>3</m:t>
            </m:r>
          </m:sub>
        </m:sSub>
      </m:oMath>
      <w:r>
        <w:t xml:space="preserve">. The most compressed potential (Mahata-2022, PR</w:t>
      </w:r>
      <m:oMath>
        <m:r>
          <m:rPr>
            <m:sty m:val="p"/>
          </m:rPr>
          <m:t>=</m:t>
        </m:r>
        <m:r>
          <m:t>1.05</m:t>
        </m:r>
      </m:oMath>
      <w:r>
        <w:t xml:space="preserve">) captures 97.5% of error variance in the first principal direction, while the least compressed (Zhou-2004, PR</w:t>
      </w:r>
      <m:oMath>
        <m:r>
          <m:rPr>
            <m:sty m:val="p"/>
          </m:rPr>
          <m:t>=</m:t>
        </m:r>
        <m:r>
          <m:t>1.86</m:t>
        </m:r>
      </m:oMath>
      <w:r>
        <w:t xml:space="preserve">) still shows clear dimensional reduction from the full 3D space.</w:t>
      </w:r>
    </w:p>
    <w:p>
      <w:pPr>
        <w:pStyle w:val="BodyText"/>
      </w:pPr>
      <w:r>
        <w:t xml:space="preserve">Elastic constant error eigenvalue spectra for representative potentials from the 559-potential dataset. Points show eigenvalues; dashed lines show geometric fits. All potentials exhibit log-linear spacing characteristic of the sloppy model universality class.</w:t>
      </w:r>
    </w:p>
    <w:p>
      <w:pPr>
        <w:pStyle w:val="BodyText"/>
      </w:pPr>
      <w:r>
        <w:t xml:space="preserve">Figure </w:t>
      </w:r>
      <w:hyperlink w:anchor="fig:dimensionality">
        <w:r>
          <w:rPr>
            <w:rStyle w:val="Hyperlink"/>
          </w:rPr>
          <w:t xml:space="preserve">2</w:t>
        </w:r>
      </w:hyperlink>
      <w:r>
        <w:t xml:space="preserve"> </w:t>
      </w:r>
      <w:r>
        <w:t xml:space="preserve">shows the distribution of effective dimensionality across all 559 potentials, confirming that hyper-ribbon confinement is universal rather than potential-specific.</w:t>
      </w:r>
    </w:p>
    <w:p>
      <w:pPr>
        <w:pStyle w:val="BodyText"/>
      </w:pPr>
      <w:r>
        <w:t xml:space="preserve">Distribution of effective dimensionality (participation ratio) across all multi-element potentials with</w:t>
      </w:r>
      <w:r>
        <w:t xml:space="preserve"> </w:t>
      </w:r>
      <m:oMath>
        <m:r>
          <m:rPr>
            <m:sty m:val="p"/>
          </m:rPr>
          <m:t>≥</m:t>
        </m:r>
        <m:r>
          <m:t>3</m:t>
        </m:r>
      </m:oMath>
      <w:r>
        <w:t xml:space="preserve"> </w:t>
      </w:r>
      <w:r>
        <w:t xml:space="preserve">materials. Median PR</w:t>
      </w:r>
      <w:r>
        <w:t xml:space="preserve"> </w:t>
      </w:r>
      <m:oMath>
        <m:r>
          <m:rPr>
            <m:sty m:val="p"/>
          </m:rPr>
          <m:t>=</m:t>
        </m:r>
        <m:r>
          <m:t>1.28</m:t>
        </m:r>
      </m:oMath>
      <w:r>
        <w:t xml:space="preserve"> </w:t>
      </w:r>
      <w:r>
        <w:t xml:space="preserve">out of 3; no potential approaches the full 3D space.</w:t>
      </w:r>
    </w:p>
    <w:bookmarkEnd w:id="30"/>
    <w:bookmarkStart w:id="31" w:name="sec:bccfcc"/>
    <w:p>
      <w:pPr>
        <w:pStyle w:val="Heading2"/>
      </w:pPr>
      <w:r>
        <w:t xml:space="preserve">BCC/FCC correlation dichotomy</w:t>
      </w:r>
    </w:p>
    <w:p>
      <w:pPr>
        <w:pStyle w:val="FirstParagraph"/>
      </w:pPr>
      <w:r>
        <w:t xml:space="preserve">A striking crystal-structure-dependent pattern emerges from the 15-element meta-analysis (Fig. </w:t>
      </w:r>
      <w:hyperlink w:anchor="fig:dichotomy">
        <w:r>
          <w:rPr>
            <w:rStyle w:val="Hyperlink"/>
          </w:rPr>
          <w:t xml:space="preserve">[fig:dichotomy]</w:t>
        </w:r>
      </w:hyperlink>
      <w:r>
        <w:t xml:space="preserve">). All seven BCC metals show strong positive correlations between reference and predicted elastic constants (mean</w:t>
      </w:r>
      <w:r>
        <w:t xml:space="preserve"> </w:t>
      </w:r>
      <m:oMath>
        <m:r>
          <m:t>r</m:t>
        </m:r>
        <m:r>
          <m:rPr>
            <m:sty m:val="p"/>
          </m:rPr>
          <m:t>=</m:t>
        </m:r>
        <m:r>
          <m:t>0.89</m:t>
        </m:r>
      </m:oMath>
      <w:r>
        <w:t xml:space="preserve">, range</w:t>
      </w:r>
      <w:r>
        <w:t xml:space="preserve"> </w:t>
      </w:r>
      <m:oMath>
        <m:r>
          <m:t>0.70</m:t>
        </m:r>
      </m:oMath>
      <w:r>
        <w:t xml:space="preserve">–</w:t>
      </w:r>
      <m:oMath>
        <m:r>
          <m:t>0.99</m:t>
        </m:r>
      </m:oMath>
      <w:r>
        <w:t xml:space="preserve">), while seven of eight FCC metals show weak correlations (mean</w:t>
      </w:r>
      <w:r>
        <w:t xml:space="preserve"> </w:t>
      </w:r>
      <m:oMath>
        <m:r>
          <m:t>r</m:t>
        </m:r>
        <m:r>
          <m:rPr>
            <m:sty m:val="p"/>
          </m:rPr>
          <m:t>=</m:t>
        </m:r>
        <m:r>
          <m:t>0.16</m:t>
        </m:r>
      </m:oMath>
      <w:r>
        <w:t xml:space="preserve">, range</w:t>
      </w:r>
      <w:r>
        <w:t xml:space="preserve"> </w:t>
      </w:r>
      <m:oMath>
        <m:r>
          <m:t>0.05</m:t>
        </m:r>
      </m:oMath>
      <w:r>
        <w:t xml:space="preserve">–</w:t>
      </w:r>
      <m:oMath>
        <m:r>
          <m:t>0.40</m:t>
        </m:r>
      </m:oMath>
      <w:r>
        <w:t xml:space="preserve">). The sole FCC exception is Pd (</w:t>
      </w:r>
      <m:oMath>
        <m:r>
          <m:t>r</m:t>
        </m:r>
        <m:r>
          <m:rPr>
            <m:sty m:val="p"/>
          </m:rPr>
          <m:t>=</m:t>
        </m:r>
        <m:r>
          <m:t>0.40</m:t>
        </m:r>
      </m:oMath>
      <w:r>
        <w:t xml:space="preserve">).</w:t>
      </w:r>
    </w:p>
    <w:p>
      <w:pPr>
        <w:pStyle w:val="BodyText"/>
      </w:pPr>
      <w:r>
        <w:t xml:space="preserve">This dichotomy implies that BCC elastic response—dominated by directional</w:t>
      </w:r>
      <w:r>
        <w:t xml:space="preserve"> </w:t>
      </w:r>
      <m:oMath>
        <m:r>
          <m:t>d</m:t>
        </m:r>
      </m:oMath>
      <w:r>
        <w:t xml:space="preserve">-orbital bonding—is structurally simpler to parameterize correctly, while the more isotropic bonding in FCC metals permits a wider range of prediction errors that decorrelate from reference values.</w:t>
      </w:r>
    </w:p>
    <w:p>
      <w:pPr>
        <w:pStyle w:val="BodyText"/>
      </w:pPr>
      <w:r>
        <w:t xml:space="preserve">image</w:t>
      </w:r>
    </w:p>
    <w:bookmarkEnd w:id="31"/>
    <w:bookmarkStart w:id="33" w:name="meta-analysis-of-potential-correlations"/>
    <w:p>
      <w:pPr>
        <w:pStyle w:val="Heading2"/>
      </w:pPr>
      <w:r>
        <w:t xml:space="preserve">Meta-analysis of potential correlations</w:t>
      </w:r>
    </w:p>
    <w:p>
      <w:pPr>
        <w:pStyle w:val="FirstParagraph"/>
      </w:pPr>
      <w:r>
        <w:t xml:space="preserve">Random-effects meta-analysis across all 15 elements reveals extreme heterogeneity (Table </w:t>
      </w:r>
      <w:hyperlink w:anchor="tab:meta">
        <w:r>
          <w:rPr>
            <w:rStyle w:val="Hyperlink"/>
          </w:rPr>
          <w:t xml:space="preserve">2</w:t>
        </w:r>
      </w:hyperlink>
      <w:r>
        <w:t xml:space="preserve">). The fixed-effects model yields a pooled correlation of</w:t>
      </w:r>
      <w:r>
        <w:t xml:space="preserve"> </w:t>
      </w:r>
      <m:oMath>
        <m:r>
          <m:t>r</m:t>
        </m:r>
        <m:r>
          <m:rPr>
            <m:sty m:val="p"/>
          </m:rPr>
          <m:t>=</m:t>
        </m:r>
        <m:r>
          <m:t>0.60</m:t>
        </m:r>
      </m:oMath>
      <w:r>
        <w:t xml:space="preserve"> </w:t>
      </w:r>
      <w:r>
        <w:t xml:space="preserve">(95% CI:</w:t>
      </w:r>
      <w:r>
        <w:t xml:space="preserve"> </w:t>
      </w:r>
      <m:oMath>
        <m:r>
          <m:t>0.57</m:t>
        </m:r>
      </m:oMath>
      <w:r>
        <w:t xml:space="preserve">–</w:t>
      </w:r>
      <m:oMath>
        <m:r>
          <m:t>0.63</m:t>
        </m:r>
      </m:oMath>
      <w:r>
        <w:t xml:space="preserve">), while the random-effects model gives</w:t>
      </w:r>
      <w:r>
        <w:t xml:space="preserve"> </w:t>
      </w:r>
      <m:oMath>
        <m:r>
          <m:t>r</m:t>
        </m:r>
        <m:r>
          <m:rPr>
            <m:sty m:val="p"/>
          </m:rPr>
          <m:t>=</m:t>
        </m:r>
        <m:r>
          <m:t>0.69</m:t>
        </m:r>
      </m:oMath>
      <w:r>
        <w:t xml:space="preserve"> </w:t>
      </w:r>
      <w:r>
        <w:t xml:space="preserve">(95% CI:</w:t>
      </w:r>
      <w:r>
        <w:t xml:space="preserve"> </w:t>
      </w:r>
      <m:oMath>
        <m:r>
          <m:t>0.41</m:t>
        </m:r>
      </m:oMath>
      <w:r>
        <w:t xml:space="preserve">–</w:t>
      </w:r>
      <m:oMath>
        <m:r>
          <m:t>0.85</m:t>
        </m:r>
      </m:oMath>
      <w:r>
        <w:t xml:space="preserve">) with a wide prediction interval (</w:t>
      </w:r>
      <m:oMath>
        <m:r>
          <m:rPr>
            <m:sty m:val="p"/>
          </m:rPr>
          <m:t>−</m:t>
        </m:r>
        <m:r>
          <m:t>0.64</m:t>
        </m:r>
      </m:oMath>
      <w:r>
        <w:t xml:space="preserve"> </w:t>
      </w:r>
      <w:r>
        <w:t xml:space="preserve">to</w:t>
      </w:r>
      <w:r>
        <w:t xml:space="preserve"> </w:t>
      </w:r>
      <m:oMath>
        <m:r>
          <m:rPr>
            <m:sty m:val="p"/>
          </m:rPr>
          <m:t>+</m:t>
        </m:r>
        <m:r>
          <m:t>0.99</m:t>
        </m:r>
      </m:oMath>
      <w:r>
        <w:t xml:space="preserve">).</w:t>
      </w:r>
    </w:p>
    <w:bookmarkStart w:id="32" w:name="tab:meta"/>
    <w:p>
      <w:pPr>
        <w:pStyle w:val="TableCaption"/>
      </w:pPr>
      <w:r>
        <w:t xml:space="preserve">Meta-analysis results: fixed vs. random effects (15 elements,</w:t>
      </w:r>
      <w:r>
        <w:t xml:space="preserve"> </w:t>
      </w:r>
      <m:oMath>
        <m:r>
          <m:t>N</m:t>
        </m:r>
        <m:r>
          <m:rPr>
            <m:sty m:val="p"/>
          </m:rPr>
          <m:t>=</m:t>
        </m:r>
        <m:r>
          <m:t>1</m:t>
        </m:r>
        <m:r>
          <m:rPr>
            <m:sty m:val="p"/>
          </m:rPr>
          <m:t>,</m:t>
        </m:r>
        <m:r>
          <m:t>677</m:t>
        </m:r>
      </m:oMath>
      <w:r>
        <w:t xml:space="preserve">).</w:t>
      </w:r>
    </w:p>
    <w:tbl>
      <w:tblPr>
        <w:tblStyle w:val="Table"/>
        <w:tblW w:type="auto" w:w="0"/>
        <w:tblLook w:firstRow="1" w:lastRow="0" w:firstColumn="0" w:lastColumn="0" w:noHBand="0" w:noVBand="0" w:val="0020"/>
        <w:tblCaption w:val="Meta-analysis results: fixed vs. random effects (15 elements, N = 1{,}677)."/>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center"/>
            </w:pPr>
            <m:oMath>
              <m:sSub>
                <m:e>
                  <m:r>
                    <m:t>r</m:t>
                  </m:r>
                </m:e>
                <m:sub>
                  <m:r>
                    <m:rPr>
                      <m:nor/>
                      <m:sty m:val="p"/>
                    </m:rPr>
                    <m:t>pool</m:t>
                  </m:r>
                </m:sub>
              </m:sSub>
            </m:oMath>
          </w:p>
        </w:tc>
        <w:tc>
          <w:tcPr/>
          <w:p>
            <w:pPr>
              <w:pStyle w:val="Compact"/>
              <w:jc w:val="center"/>
            </w:pPr>
            <w:r>
              <w:t xml:space="preserve">95% CI</w:t>
            </w:r>
          </w:p>
        </w:tc>
        <w:tc>
          <w:tcPr/>
          <w:p>
            <w:pPr>
              <w:pStyle w:val="Compact"/>
              <w:jc w:val="center"/>
            </w:pPr>
            <m:oMath>
              <m:r>
                <m:t>Q</m:t>
              </m:r>
            </m:oMath>
          </w:p>
        </w:tc>
        <w:tc>
          <w:tcPr/>
          <w:p>
            <w:pPr>
              <w:pStyle w:val="Compact"/>
              <w:jc w:val="center"/>
            </w:pPr>
            <m:oMath>
              <m:sSup>
                <m:e>
                  <m:r>
                    <m:t>I</m:t>
                  </m:r>
                </m:e>
                <m:sup>
                  <m:r>
                    <m:t>2</m:t>
                  </m:r>
                </m:sup>
              </m:sSup>
            </m:oMath>
          </w:p>
        </w:tc>
        <w:tc>
          <w:tcPr/>
          <w:p>
            <w:pPr>
              <w:pStyle w:val="Compact"/>
              <w:jc w:val="center"/>
            </w:pPr>
            <m:oMath>
              <m:r>
                <m:t>τ</m:t>
              </m:r>
            </m:oMath>
          </w:p>
        </w:tc>
      </w:tr>
      <w:tr>
        <w:tc>
          <w:tcPr/>
          <w:p>
            <w:pPr>
              <w:pStyle w:val="Compact"/>
              <w:jc w:val="left"/>
            </w:pPr>
            <w:r>
              <w:t xml:space="preserve">Fixed</w:t>
            </w:r>
          </w:p>
        </w:tc>
        <w:tc>
          <w:tcPr/>
          <w:p>
            <w:pPr>
              <w:pStyle w:val="Compact"/>
              <w:jc w:val="center"/>
            </w:pPr>
            <m:oMath>
              <m:r>
                <m:rPr>
                  <m:sty m:val="p"/>
                </m:rPr>
                <m:t>+</m:t>
              </m:r>
              <m:r>
                <m:t>0.60</m:t>
              </m:r>
            </m:oMath>
          </w:p>
        </w:tc>
        <w:tc>
          <w:tcPr/>
          <w:p>
            <w:pPr>
              <w:pStyle w:val="Compact"/>
              <w:jc w:val="center"/>
            </w:pPr>
            <m:oMath>
              <m:d>
                <m:dPr>
                  <m:begChr m:val="["/>
                  <m:endChr m:val="]"/>
                  <m:sepChr m:val=""/>
                  <m:grow/>
                </m:dPr>
                <m:e>
                  <m:r>
                    <m:t>0.57</m:t>
                  </m:r>
                  <m:r>
                    <m:rPr>
                      <m:sty m:val="p"/>
                    </m:rPr>
                    <m:t>,</m:t>
                  </m:r>
                  <m:r>
                    <m:t>0.63</m:t>
                  </m:r>
                </m:e>
              </m:d>
            </m:oMath>
          </w:p>
        </w:tc>
        <w:tc>
          <w:tcPr/>
          <w:p>
            <w:pPr>
              <w:pStyle w:val="Compact"/>
              <w:jc w:val="center"/>
            </w:pPr>
            <w:r>
              <w:t xml:space="preserve">945</w:t>
            </w:r>
          </w:p>
        </w:tc>
        <w:tc>
          <w:tcPr/>
          <w:p>
            <w:pPr>
              <w:pStyle w:val="Compact"/>
              <w:jc w:val="center"/>
            </w:pPr>
            <w:r>
              <w:t xml:space="preserve">98.5%</w:t>
            </w:r>
          </w:p>
        </w:tc>
        <w:tc>
          <w:tcPr/>
          <w:p>
            <w:pPr>
              <w:pStyle w:val="Compact"/>
              <w:jc w:val="center"/>
            </w:pPr>
            <m:oMath>
              <m:r>
                <m:t>0.00</m:t>
              </m:r>
            </m:oMath>
          </w:p>
        </w:tc>
      </w:tr>
      <w:tr>
        <w:tc>
          <w:tcPr/>
          <w:p>
            <w:pPr>
              <w:pStyle w:val="Compact"/>
              <w:jc w:val="left"/>
            </w:pPr>
            <w:r>
              <w:t xml:space="preserve">Random</w:t>
            </w:r>
          </w:p>
        </w:tc>
        <w:tc>
          <w:tcPr/>
          <w:p>
            <w:pPr>
              <w:pStyle w:val="Compact"/>
              <w:jc w:val="center"/>
            </w:pPr>
            <m:oMath>
              <m:r>
                <m:rPr>
                  <m:sty m:val="p"/>
                </m:rPr>
                <m:t>+</m:t>
              </m:r>
              <m:r>
                <m:t>0.69</m:t>
              </m:r>
            </m:oMath>
          </w:p>
        </w:tc>
        <w:tc>
          <w:tcPr/>
          <w:p>
            <w:pPr>
              <w:pStyle w:val="Compact"/>
              <w:jc w:val="center"/>
            </w:pPr>
            <m:oMath>
              <m:d>
                <m:dPr>
                  <m:begChr m:val="["/>
                  <m:endChr m:val="]"/>
                  <m:sepChr m:val=""/>
                  <m:grow/>
                </m:dPr>
                <m:e>
                  <m:r>
                    <m:t>0.41</m:t>
                  </m:r>
                  <m:r>
                    <m:rPr>
                      <m:sty m:val="p"/>
                    </m:rPr>
                    <m:t>,</m:t>
                  </m:r>
                  <m:r>
                    <m:t>0.85</m:t>
                  </m:r>
                </m:e>
              </m:d>
            </m:oMath>
          </w:p>
        </w:tc>
        <w:tc>
          <w:tcPr/>
          <w:p>
            <w:pPr>
              <w:pStyle w:val="Compact"/>
              <w:jc w:val="center"/>
            </w:pPr>
            <w:r>
              <w:t xml:space="preserve">984</w:t>
            </w:r>
          </w:p>
        </w:tc>
        <w:tc>
          <w:tcPr/>
          <w:p>
            <w:pPr>
              <w:pStyle w:val="Compact"/>
              <w:jc w:val="center"/>
            </w:pPr>
            <w:r>
              <w:t xml:space="preserve">98.6%</w:t>
            </w:r>
          </w:p>
        </w:tc>
        <w:tc>
          <w:tcPr/>
          <w:p>
            <w:pPr>
              <w:pStyle w:val="Compact"/>
              <w:jc w:val="center"/>
            </w:pPr>
            <m:oMath>
              <m:r>
                <m:t>0.80</m:t>
              </m:r>
            </m:oMath>
          </w:p>
        </w:tc>
      </w:tr>
    </w:tbl>
    <w:bookmarkEnd w:id="32"/>
    <w:p>
      <w:pPr>
        <w:pStyle w:val="BodyText"/>
      </w:pPr>
      <w:r>
        <w:t xml:space="preserve">The forest plot (Fig. </w:t>
      </w:r>
      <w:hyperlink w:anchor="fig:forest">
        <w:r>
          <w:rPr>
            <w:rStyle w:val="Hyperlink"/>
          </w:rPr>
          <w:t xml:space="preserve">3</w:t>
        </w:r>
      </w:hyperlink>
      <w:r>
        <w:t xml:space="preserve">) illustrates how individual metal correlations range from</w:t>
      </w:r>
      <w:r>
        <w:t xml:space="preserve"> </w:t>
      </w:r>
      <m:oMath>
        <m:r>
          <m:t>r</m:t>
        </m:r>
        <m:r>
          <m:rPr>
            <m:sty m:val="p"/>
          </m:rPr>
          <m:t>=</m:t>
        </m:r>
        <m:r>
          <m:rPr>
            <m:sty m:val="p"/>
          </m:rPr>
          <m:t>+</m:t>
        </m:r>
        <m:r>
          <m:t>0.048</m:t>
        </m:r>
      </m:oMath>
      <w:r>
        <w:t xml:space="preserve"> </w:t>
      </w:r>
      <w:r>
        <w:t xml:space="preserve">(Ni) to</w:t>
      </w:r>
      <w:r>
        <w:t xml:space="preserve"> </w:t>
      </w:r>
      <m:oMath>
        <m:r>
          <m:t>r</m:t>
        </m:r>
        <m:r>
          <m:rPr>
            <m:sty m:val="p"/>
          </m:rPr>
          <m:t>=</m:t>
        </m:r>
        <m:r>
          <m:rPr>
            <m:sty m:val="p"/>
          </m:rPr>
          <m:t>+</m:t>
        </m:r>
        <m:r>
          <m:t>0.986</m:t>
        </m:r>
      </m:oMath>
      <w:r>
        <w:t xml:space="preserve"> </w:t>
      </w:r>
      <w:r>
        <w:t xml:space="preserve">(Nb). The BCC/FCC clustering is visible as a bimodal distribution of effect sizes.</w:t>
      </w:r>
    </w:p>
    <w:p>
      <w:pPr>
        <w:pStyle w:val="BodyText"/>
      </w:pPr>
      <w:r>
        <w:t xml:space="preserve">Meta-analysis forest plot. Individual elements colored by crystal structure (red = BCC, blue = FCC). Fixed- and random-effects summaries shown as diamonds.</w:t>
      </w:r>
      <w:r>
        <w:t xml:space="preserve"> </w:t>
      </w:r>
      <m:oMath>
        <m:sSup>
          <m:e>
            <m:r>
              <m:t>I</m:t>
            </m:r>
          </m:e>
          <m:sup>
            <m:r>
              <m:t>2</m:t>
            </m:r>
          </m:sup>
        </m:sSup>
        <m:r>
          <m:rPr>
            <m:sty m:val="p"/>
          </m:rPr>
          <m:t>=</m:t>
        </m:r>
        <m:r>
          <m:t>98.6</m:t>
        </m:r>
        <m:r>
          <m:rPr>
            <m:sty m:val="p"/>
          </m:rPr>
          <m:t>%</m:t>
        </m:r>
      </m:oMath>
      <w:r>
        <w:t xml:space="preserve"> </w:t>
      </w:r>
      <w:r>
        <w:t xml:space="preserve">mandates random-effects interpretation.</w:t>
      </w:r>
    </w:p>
    <w:bookmarkEnd w:id="33"/>
    <w:bookmarkStart w:id="34" w:name="Xa67dc88d84df0e948979d39be1c86c5421d9090"/>
    <w:p>
      <w:pPr>
        <w:pStyle w:val="Heading2"/>
      </w:pPr>
      <w:r>
        <w:t xml:space="preserve">Pair-style stratification and ecological fallacy</w:t>
      </w:r>
    </w:p>
    <w:p>
      <w:pPr>
        <w:pStyle w:val="FirstParagraph"/>
      </w:pPr>
      <w:r>
        <w:t xml:space="preserve">When benchmark results are stratified by pair_style family rather than element (</w:t>
      </w:r>
      <m:oMath>
        <m:r>
          <m:t>N</m:t>
        </m:r>
        <m:r>
          <m:rPr>
            <m:sty m:val="p"/>
          </m:rPr>
          <m:t>=</m:t>
        </m:r>
        <m:r>
          <m:t>633</m:t>
        </m:r>
      </m:oMath>
      <w:r>
        <w:t xml:space="preserve"> </w:t>
      </w:r>
      <w:r>
        <w:t xml:space="preserve">NIST-matched entries with pair_style provenance), all groups show positive correlations, but the pooled correlation (</w:t>
      </w:r>
      <m:oMath>
        <m:r>
          <m:t>r</m:t>
        </m:r>
        <m:r>
          <m:rPr>
            <m:sty m:val="p"/>
          </m:rPr>
          <m:t>=</m:t>
        </m:r>
        <m:r>
          <m:t>0.82</m:t>
        </m:r>
      </m:oMath>
      <w:r>
        <w:t xml:space="preserve">) substantially understates the within-group accuracy (mean</w:t>
      </w:r>
      <w:r>
        <w:t xml:space="preserve"> </w:t>
      </w:r>
      <m:oMath>
        <m:r>
          <m:t>r</m:t>
        </m:r>
        <m:r>
          <m:rPr>
            <m:sty m:val="p"/>
          </m:rPr>
          <m:t>=</m:t>
        </m:r>
        <m:r>
          <m:t>0.95</m:t>
        </m:r>
      </m:oMath>
      <w:r>
        <w:t xml:space="preserve">). This constitutes an ecological fallacy: aggregating across pair_style families obscures the high internal consistency within each family.</w:t>
      </w:r>
    </w:p>
    <w:p>
      <w:pPr>
        <w:pStyle w:val="BodyText"/>
      </w:pPr>
      <w:r>
        <w:t xml:space="preserve">Notably, MEAM potentials show</w:t>
      </w:r>
      <w:r>
        <w:t xml:space="preserve"> </w:t>
      </w:r>
      <m:oMath>
        <m:r>
          <m:t>r</m:t>
        </m:r>
        <m:r>
          <m:rPr>
            <m:sty m:val="p"/>
          </m:rPr>
          <m:t>=</m:t>
        </m:r>
        <m:r>
          <m:t>0.986</m:t>
        </m:r>
      </m:oMath>
      <w:r>
        <w:t xml:space="preserve"> </w:t>
      </w:r>
      <w:r>
        <w:t xml:space="preserve">(</w:t>
      </w:r>
      <m:oMath>
        <m:r>
          <m:t>n</m:t>
        </m:r>
        <m:r>
          <m:rPr>
            <m:sty m:val="p"/>
          </m:rPr>
          <m:t>=</m:t>
        </m:r>
        <m:r>
          <m:t>270</m:t>
        </m:r>
      </m:oMath>
      <w:r>
        <w:t xml:space="preserve">), EAM/fs shows</w:t>
      </w:r>
      <w:r>
        <w:t xml:space="preserve"> </w:t>
      </w:r>
      <m:oMath>
        <m:r>
          <m:t>r</m:t>
        </m:r>
        <m:r>
          <m:rPr>
            <m:sty m:val="p"/>
          </m:rPr>
          <m:t>=</m:t>
        </m:r>
        <m:r>
          <m:t>0.995</m:t>
        </m:r>
      </m:oMath>
      <w:r>
        <w:t xml:space="preserve"> </w:t>
      </w:r>
      <w:r>
        <w:t xml:space="preserve">(</w:t>
      </w:r>
      <m:oMath>
        <m:r>
          <m:t>n</m:t>
        </m:r>
        <m:r>
          <m:rPr>
            <m:sty m:val="p"/>
          </m:rPr>
          <m:t>=</m:t>
        </m:r>
        <m:r>
          <m:t>90</m:t>
        </m:r>
      </m:oMath>
      <w:r>
        <w:t xml:space="preserve">), and EAM/alloy shows</w:t>
      </w:r>
      <w:r>
        <w:t xml:space="preserve"> </w:t>
      </w:r>
      <m:oMath>
        <m:r>
          <m:t>r</m:t>
        </m:r>
        <m:r>
          <m:rPr>
            <m:sty m:val="p"/>
          </m:rPr>
          <m:t>=</m:t>
        </m:r>
        <m:r>
          <m:t>0.898</m:t>
        </m:r>
      </m:oMath>
      <w:r>
        <w:t xml:space="preserve"> </w:t>
      </w:r>
      <w:r>
        <w:t xml:space="preserve">(</w:t>
      </w:r>
      <m:oMath>
        <m:r>
          <m:t>n</m:t>
        </m:r>
        <m:r>
          <m:rPr>
            <m:sty m:val="p"/>
          </m:rPr>
          <m:t>=</m:t>
        </m:r>
        <m:r>
          <m:t>204</m:t>
        </m:r>
      </m:oMath>
      <w:r>
        <w:t xml:space="preserve">). The outlier is BOP (</w:t>
      </w:r>
      <m:oMath>
        <m:r>
          <m:t>r</m:t>
        </m:r>
        <m:r>
          <m:rPr>
            <m:sty m:val="p"/>
          </m:rPr>
          <m:t>=</m:t>
        </m:r>
        <m:r>
          <m:t>0.574</m:t>
        </m:r>
      </m:oMath>
      <w:r>
        <w:t xml:space="preserve">,</w:t>
      </w:r>
      <w:r>
        <w:t xml:space="preserve"> </w:t>
      </w:r>
      <m:oMath>
        <m:r>
          <m:t>n</m:t>
        </m:r>
        <m:r>
          <m:rPr>
            <m:sty m:val="p"/>
          </m:rPr>
          <m:t>=</m:t>
        </m:r>
        <m:r>
          <m:t>9</m:t>
        </m:r>
      </m:oMath>
      <w:r>
        <w:t xml:space="preserve">), which systematically overpredicts</w:t>
      </w:r>
      <w:r>
        <w:t xml:space="preserve"> </w:t>
      </w:r>
      <m:oMath>
        <m:sSub>
          <m:e>
            <m:r>
              <m:t>C</m:t>
            </m:r>
          </m:e>
          <m:sub>
            <m:r>
              <m:t>11</m:t>
            </m:r>
          </m:sub>
        </m:sSub>
      </m:oMath>
      <w:r>
        <w:t xml:space="preserve"> </w:t>
      </w:r>
      <w:r>
        <w:t xml:space="preserve">(mean predicted/reference ratio of</w:t>
      </w:r>
      <w:r>
        <w:t xml:space="preserve"> </w:t>
      </w:r>
      <m:oMath>
        <m:r>
          <m:t>2.75</m:t>
        </m:r>
      </m:oMath>
      <w:r>
        <w:t xml:space="preserve">).</w:t>
      </w:r>
    </w:p>
    <w:p>
      <w:pPr>
        <w:pStyle w:val="BodyText"/>
      </w:pPr>
      <w:r>
        <w:t xml:space="preserve">image</w:t>
      </w:r>
    </w:p>
    <w:bookmarkEnd w:id="34"/>
    <w:bookmarkStart w:id="35" w:name="sec:dband"/>
    <w:p>
      <w:pPr>
        <w:pStyle w:val="Heading2"/>
      </w:pPr>
      <w:r>
        <w:t xml:space="preserve">Cross-style alignment and the d-band hypothesis</w:t>
      </w:r>
    </w:p>
    <w:p>
      <w:pPr>
        <w:pStyle w:val="FirstParagraph"/>
      </w:pPr>
      <w:r>
        <w:t xml:space="preserve">A natural mechanistic question follows from §</w:t>
      </w:r>
      <w:hyperlink w:anchor="sec:bccfcc">
        <w:r>
          <w:rPr>
            <w:rStyle w:val="Hyperlink"/>
          </w:rPr>
          <w:t xml:space="preserve">4.2</w:t>
        </w:r>
      </w:hyperlink>
      <w:r>
        <w:t xml:space="preserve">: if the BCC/FCC dichotomy reflects directional</w:t>
      </w:r>
      <w:r>
        <w:t xml:space="preserve"> </w:t>
      </w:r>
      <m:oMath>
        <m:r>
          <m:t>d</m:t>
        </m:r>
      </m:oMath>
      <w:r>
        <w:t xml:space="preserve">-orbital bonding constraints, do similar effects govern element-level error structure within crystal classes? To probe this we computed the per-element cross-style PC1 cosine alignment, which measures the cosine similarity of the leading principal-component error direction between distinct</w:t>
      </w:r>
      <w:r>
        <w:t xml:space="preserve"> </w:t>
      </w:r>
      <w:r>
        <w:rPr>
          <w:rStyle w:val="VerbatimChar"/>
        </w:rPr>
        <w:t xml:space="preserve">pair_style</w:t>
      </w:r>
      <w:r>
        <w:t xml:space="preserve"> </w:t>
      </w:r>
      <w:r>
        <w:t xml:space="preserve">families fitted to the same element. High alignment indicates that different functional forms agree on the dominant error direction; low alignment indicates that families disagree on what the leading error mode even is.</w:t>
      </w:r>
    </w:p>
    <w:p>
      <w:pPr>
        <w:pStyle w:val="BodyText"/>
      </w:pPr>
      <w:r>
        <w:t xml:space="preserve">Across the 15 IMMI elements we observed a striking spread in mean cosine alignment, from</w:t>
      </w:r>
      <w:r>
        <w:t xml:space="preserve"> </w:t>
      </w:r>
      <m:oMath>
        <m:r>
          <m:t>0.18</m:t>
        </m:r>
      </m:oMath>
      <w:r>
        <w:t xml:space="preserve"> </w:t>
      </w:r>
      <w:r>
        <w:t xml:space="preserve">(Pd) up to</w:t>
      </w:r>
      <w:r>
        <w:t xml:space="preserve"> </w:t>
      </w:r>
      <m:oMath>
        <m:r>
          <m:t>0.99</m:t>
        </m:r>
      </m:oMath>
      <w:r>
        <w:t xml:space="preserve"> </w:t>
      </w:r>
      <w:r>
        <w:t xml:space="preserve">(Ta, Nb). The seven highest-aligned elements (Au/Ta/Nb/Ag/Cr/Pb/Pt) all exceed</w:t>
      </w:r>
      <w:r>
        <w:t xml:space="preserve"> </w:t>
      </w:r>
      <m:oMath>
        <m:r>
          <m:t>0.85</m:t>
        </m:r>
      </m:oMath>
      <w:r>
        <w:t xml:space="preserve">, while the four lowest (Pd/Al/W/Fe) sit below</w:t>
      </w:r>
      <w:r>
        <w:t xml:space="preserve"> </w:t>
      </w:r>
      <m:oMath>
        <m:r>
          <m:t>0.62</m:t>
        </m:r>
      </m:oMath>
      <w:r>
        <w:t xml:space="preserve">. The temptation is to read this as a chemical signal: the high-aligned set is dominated by closed-shell or noble-metal character, the low-aligned set by open-</w:t>
      </w:r>
      <m:oMath>
        <m:r>
          <m:t>d</m:t>
        </m:r>
      </m:oMath>
      <w:r>
        <w:t xml:space="preserve">-shell elements. Formally, this is the hypothesis</w:t>
      </w:r>
      <w:r>
        <w:t xml:space="preserve"> </w:t>
      </w:r>
      <m:oMath>
        <m:sSub>
          <m:e>
            <m:r>
              <m:t>H</m:t>
            </m:r>
          </m:e>
          <m:sub>
            <m:r>
              <m:t>d</m:t>
            </m:r>
          </m:sub>
        </m:sSub>
      </m:oMath>
      <w:r>
        <w:t xml:space="preserve">:</w:t>
      </w:r>
      <w:r>
        <w:t xml:space="preserve"> </w:t>
      </w:r>
      <w:r>
        <w:rPr>
          <w:iCs/>
          <w:i/>
        </w:rPr>
        <w:t xml:space="preserve">closed-shell</w:t>
      </w:r>
      <w:r>
        <w:rPr>
          <w:iCs/>
          <w:i/>
        </w:rPr>
        <w:t xml:space="preserve"> </w:t>
      </w:r>
      <m:oMath>
        <m:r>
          <m:t>d</m:t>
        </m:r>
      </m:oMath>
      <w:r>
        <w:rPr>
          <w:iCs/>
          <w:i/>
        </w:rPr>
        <w:t xml:space="preserve">-band</w:t>
      </w:r>
      <w:r>
        <w:rPr>
          <w:iCs/>
          <w:i/>
        </w:rPr>
        <w:t xml:space="preserve"> </w:t>
      </w:r>
      <m:oMath>
        <m:r>
          <m:rPr>
            <m:sty m:val="p"/>
          </m:rPr>
          <m:t>→</m:t>
        </m:r>
      </m:oMath>
      <w:r>
        <w:rPr>
          <w:iCs/>
          <w:i/>
        </w:rPr>
        <w:t xml:space="preserve"> </w:t>
      </w:r>
      <w:r>
        <w:rPr>
          <w:iCs/>
          <w:i/>
        </w:rPr>
        <w:t xml:space="preserve">constrained parameterization</w:t>
      </w:r>
      <w:r>
        <w:rPr>
          <w:iCs/>
          <w:i/>
        </w:rPr>
        <w:t xml:space="preserve"> </w:t>
      </w:r>
      <m:oMath>
        <m:r>
          <m:rPr>
            <m:sty m:val="p"/>
          </m:rPr>
          <m:t>→</m:t>
        </m:r>
      </m:oMath>
      <w:r>
        <w:rPr>
          <w:iCs/>
          <w:i/>
        </w:rPr>
        <w:t xml:space="preserve"> </w:t>
      </w:r>
      <w:r>
        <w:rPr>
          <w:iCs/>
          <w:i/>
        </w:rPr>
        <w:t xml:space="preserve">tighter cross-style alignment</w:t>
      </w:r>
      <w:r>
        <w:t xml:space="preserve">.</w:t>
      </w:r>
    </w:p>
    <w:p>
      <w:pPr>
        <w:pStyle w:val="BodyText"/>
      </w:pPr>
      <w:r>
        <w:t xml:space="preserve">We tested</w:t>
      </w:r>
      <w:r>
        <w:t xml:space="preserve"> </w:t>
      </w:r>
      <m:oMath>
        <m:sSub>
          <m:e>
            <m:r>
              <m:t>H</m:t>
            </m:r>
          </m:e>
          <m:sub>
            <m:r>
              <m:t>d</m:t>
            </m:r>
          </m:sub>
        </m:sSub>
      </m:oMath>
      <w:r>
        <w:t xml:space="preserve"> </w:t>
      </w:r>
      <w:r>
        <w:t xml:space="preserve">directly. Spearman rank correlation between</w:t>
      </w:r>
      <w:r>
        <w:t xml:space="preserve"> </w:t>
      </w:r>
      <m:oMath>
        <m:r>
          <m:t>d</m:t>
        </m:r>
      </m:oMath>
      <w:r>
        <w:t xml:space="preserve">-electron count and mean cosine alignment, evaluated on the full 15-element sample, gives</w:t>
      </w:r>
      <w:r>
        <w:t xml:space="preserve"> </w:t>
      </w:r>
      <m:oMath>
        <m:r>
          <m:t>ρ</m:t>
        </m:r>
        <m:r>
          <m:rPr>
            <m:sty m:val="p"/>
          </m:rPr>
          <m:t>=</m:t>
        </m:r>
        <m:r>
          <m:rPr>
            <m:sty m:val="p"/>
          </m:rPr>
          <m:t>−</m:t>
        </m:r>
        <m:r>
          <m:t>0.018</m:t>
        </m:r>
      </m:oMath>
      <w:r>
        <w:t xml:space="preserve"> </w:t>
      </w:r>
      <w:r>
        <w:t xml:space="preserve">with permutation</w:t>
      </w:r>
      <w:r>
        <w:t xml:space="preserve"> </w:t>
      </w:r>
      <m:oMath>
        <m:r>
          <m:t>p</m:t>
        </m:r>
        <m:r>
          <m:rPr>
            <m:sty m:val="p"/>
          </m:rPr>
          <m:t>=</m:t>
        </m:r>
        <m:r>
          <m:t>0.95</m:t>
        </m:r>
      </m:oMath>
      <w:r>
        <w:t xml:space="preserve"> </w:t>
      </w:r>
      <w:r>
        <w:t xml:space="preserve">(5</w:t>
      </w:r>
      <w:r>
        <w:t xml:space="preserve">,</w:t>
      </w:r>
      <w:r>
        <w:t xml:space="preserve">000 label shuffles), bootstrap 95% CI</w:t>
      </w:r>
      <w:r>
        <w:t xml:space="preserve"> </w:t>
      </w:r>
      <m:oMath>
        <m:d>
          <m:dPr>
            <m:begChr m:val="["/>
            <m:endChr m:val="]"/>
            <m:sepChr m:val=""/>
            <m:grow/>
          </m:dPr>
          <m:e>
            <m:r>
              <m:rPr>
                <m:sty m:val="p"/>
              </m:rPr>
              <m:t>−</m:t>
            </m:r>
            <m:r>
              <m:t>0.54</m:t>
            </m:r>
            <m:r>
              <m:rPr>
                <m:sty m:val="p"/>
              </m:rPr>
              <m:t>,</m:t>
            </m:r>
            <m:r>
              <m:rPr>
                <m:sty m:val="p"/>
              </m:rPr>
              <m:t>+</m:t>
            </m:r>
            <m:r>
              <m:t>0.57</m:t>
            </m:r>
          </m:e>
        </m:d>
      </m:oMath>
      <w:r>
        <w:t xml:space="preserve">. A Mann-Whitney</w:t>
      </w:r>
      <w:r>
        <w:t xml:space="preserve"> </w:t>
      </w:r>
      <m:oMath>
        <m:r>
          <m:t>U</m:t>
        </m:r>
      </m:oMath>
      <w:r>
        <w:t xml:space="preserve"> </w:t>
      </w:r>
      <w:r>
        <w:t xml:space="preserve">test on the closed-shell (</w:t>
      </w:r>
      <m:oMath>
        <m:r>
          <m:t>n</m:t>
        </m:r>
        <m:r>
          <m:rPr>
            <m:sty m:val="p"/>
          </m:rPr>
          <m:t>=</m:t>
        </m:r>
        <m:r>
          <m:t>5</m:t>
        </m:r>
      </m:oMath>
      <w:r>
        <w:t xml:space="preserve">, mean cosine</w:t>
      </w:r>
      <w:r>
        <w:t xml:space="preserve"> </w:t>
      </w:r>
      <m:oMath>
        <m:r>
          <m:t>0.74</m:t>
        </m:r>
      </m:oMath>
      <w:r>
        <w:t xml:space="preserve">) versus open-shell (</w:t>
      </w:r>
      <m:oMath>
        <m:r>
          <m:t>n</m:t>
        </m:r>
        <m:r>
          <m:rPr>
            <m:sty m:val="p"/>
          </m:rPr>
          <m:t>=</m:t>
        </m:r>
        <m:r>
          <m:t>8</m:t>
        </m:r>
      </m:oMath>
      <w:r>
        <w:t xml:space="preserve">, mean</w:t>
      </w:r>
      <w:r>
        <w:t xml:space="preserve"> </w:t>
      </w:r>
      <m:oMath>
        <m:r>
          <m:t>0.79</m:t>
        </m:r>
      </m:oMath>
      <w:r>
        <w:t xml:space="preserve">) groups returns</w:t>
      </w:r>
      <w:r>
        <w:t xml:space="preserve"> </w:t>
      </w:r>
      <m:oMath>
        <m:r>
          <m:t>p</m:t>
        </m:r>
        <m:r>
          <m:rPr>
            <m:sty m:val="p"/>
          </m:rPr>
          <m:t>=</m:t>
        </m:r>
        <m:r>
          <m:t>0.83</m:t>
        </m:r>
      </m:oMath>
      <w:r>
        <w:t xml:space="preserve">. By every parametric and non-parametric test the d-band hypothesis is</w:t>
      </w:r>
      <w:r>
        <w:t xml:space="preserve"> </w:t>
      </w:r>
      <w:r>
        <w:rPr>
          <w:bCs/>
          <w:b/>
        </w:rPr>
        <w:t xml:space="preserve">refuted on the full sample</w:t>
      </w:r>
      <w:r>
        <w:t xml:space="preserve">: the data is consistent with no monotonic relationship. The hypothesized mechanism cannot be the dominant driver of the observed dichotomy.</w:t>
      </w:r>
    </w:p>
    <w:p>
      <w:pPr>
        <w:pStyle w:val="BodyText"/>
      </w:pPr>
      <w:r>
        <w:t xml:space="preserve">The most parsimonious alternative is a sample-size confounder: elements fitted with fewer distinct</w:t>
      </w:r>
      <w:r>
        <w:t xml:space="preserve"> </w:t>
      </w:r>
      <w:r>
        <w:rPr>
          <w:rStyle w:val="VerbatimChar"/>
        </w:rPr>
        <w:t xml:space="preserve">pair_style</w:t>
      </w:r>
      <w:r>
        <w:t xml:space="preserve"> </w:t>
      </w:r>
      <w:r>
        <w:t xml:space="preserve">families have fewer cosine pairs to average, so their reported mean cosine has higher single-pair variance in both directions. Letting</w:t>
      </w:r>
      <w:r>
        <w:t xml:space="preserve"> </w:t>
      </w:r>
      <m:oMath>
        <m:sSub>
          <m:e>
            <m:r>
              <m:t>n</m:t>
            </m:r>
          </m:e>
          <m:sub>
            <m:r>
              <m:rPr>
                <m:nor/>
                <m:sty m:val="p"/>
              </m:rPr>
              <m:t>pairs</m:t>
            </m:r>
          </m:sub>
        </m:sSub>
      </m:oMath>
      <w:r>
        <w:t xml:space="preserve"> </w:t>
      </w:r>
      <w:r>
        <w:t xml:space="preserve">denote the number of pair_style cosine pairs averaged for each element, Spearman</w:t>
      </w:r>
      <w:r>
        <w:t xml:space="preserve"> </w:t>
      </w:r>
      <m:oMath>
        <m:r>
          <m:t>ρ</m:t>
        </m:r>
        <m:d>
          <m:dPr>
            <m:begChr m:val="("/>
            <m:endChr m:val=")"/>
            <m:sepChr m:val=""/>
            <m:grow/>
          </m:dPr>
          <m:e>
            <m:sSub>
              <m:e>
                <m:r>
                  <m:t>n</m:t>
                </m:r>
              </m:e>
              <m:sub>
                <m:r>
                  <m:rPr>
                    <m:nor/>
                    <m:sty m:val="p"/>
                  </m:rPr>
                  <m:t>pairs</m:t>
                </m:r>
              </m:sub>
            </m:sSub>
            <m:r>
              <m:rPr>
                <m:sty m:val="p"/>
              </m:rPr>
              <m:t>,</m:t>
            </m:r>
            <m:bar>
              <m:barPr>
                <m:pos m:val="top"/>
              </m:barPr>
              <m:e>
                <m:r>
                  <m:rPr>
                    <m:sty m:val="p"/>
                  </m:rPr>
                  <m:t>cos</m:t>
                </m:r>
              </m:e>
            </m:bar>
          </m:e>
        </m:d>
        <m:r>
          <m:rPr>
            <m:sty m:val="p"/>
          </m:rPr>
          <m:t>=</m:t>
        </m:r>
        <m:r>
          <m:rPr>
            <m:sty m:val="p"/>
          </m:rPr>
          <m:t>−</m:t>
        </m:r>
        <m:r>
          <m:t>0.497</m:t>
        </m:r>
      </m:oMath>
      <w:r>
        <w:t xml:space="preserve"> </w:t>
      </w:r>
      <w:r>
        <w:t xml:space="preserve">with permutation</w:t>
      </w:r>
      <w:r>
        <w:t xml:space="preserve"> </w:t>
      </w:r>
      <m:oMath>
        <m:r>
          <m:t>p</m:t>
        </m:r>
        <m:r>
          <m:rPr>
            <m:sty m:val="p"/>
          </m:rPr>
          <m:t>=</m:t>
        </m:r>
        <m:r>
          <m:t>0.060</m:t>
        </m:r>
      </m:oMath>
      <w:r>
        <w:t xml:space="preserve"> </w:t>
      </w:r>
      <w:r>
        <w:t xml:space="preserve">on the full sample, tightening to</w:t>
      </w:r>
      <w:r>
        <w:t xml:space="preserve"> </w:t>
      </w:r>
      <m:oMath>
        <m:r>
          <m:t>ρ</m:t>
        </m:r>
        <m:r>
          <m:rPr>
            <m:sty m:val="p"/>
          </m:rPr>
          <m:t>=</m:t>
        </m:r>
        <m:r>
          <m:rPr>
            <m:sty m:val="p"/>
          </m:rPr>
          <m:t>−</m:t>
        </m:r>
        <m:r>
          <m:t>0.663</m:t>
        </m:r>
      </m:oMath>
      <w:r>
        <w:t xml:space="preserve"> </w:t>
      </w:r>
      <w:r>
        <w:t xml:space="preserve">(</w:t>
      </w:r>
      <m:oMath>
        <m:r>
          <m:t>p</m:t>
        </m:r>
        <m:r>
          <m:rPr>
            <m:sty m:val="p"/>
          </m:rPr>
          <m:t>=</m:t>
        </m:r>
        <m:r>
          <m:t>0.023</m:t>
        </m:r>
      </m:oMath>
      <w:r>
        <w:t xml:space="preserve">) once the three</w:t>
      </w:r>
      <w:r>
        <w:t xml:space="preserve"> </w:t>
      </w:r>
      <m:oMath>
        <m:sSub>
          <m:e>
            <m:r>
              <m:t>n</m:t>
            </m:r>
          </m:e>
          <m:sub>
            <m:r>
              <m:rPr>
                <m:nor/>
                <m:sty m:val="p"/>
              </m:rPr>
              <m:t>pairs</m:t>
            </m:r>
          </m:sub>
        </m:sSub>
        <m:r>
          <m:rPr>
            <m:sty m:val="p"/>
          </m:rPr>
          <m:t>=</m:t>
        </m:r>
        <m:r>
          <m:t>1</m:t>
        </m:r>
      </m:oMath>
      <w:r>
        <w:t xml:space="preserve"> </w:t>
      </w:r>
      <w:r>
        <w:t xml:space="preserve">outliers (Pd, Ta, Nb) are excluded. More fitted families systematically produce lower apparent alignment, as expected if each new family contributes additional disagreement.</w:t>
      </w:r>
    </w:p>
    <w:p>
      <w:pPr>
        <w:pStyle w:val="BodyText"/>
      </w:pPr>
      <w:r>
        <w:t xml:space="preserve">The two findings together resolve the apparent contradiction: removing the same three single-pair outliers from the d-band test reverses the sign of</w:t>
      </w:r>
      <w:r>
        <w:t xml:space="preserve"> </w:t>
      </w:r>
      <m:oMath>
        <m:r>
          <m:t>ρ</m:t>
        </m:r>
      </m:oMath>
      <w:r>
        <w:t xml:space="preserve"> </w:t>
      </w:r>
      <w:r>
        <w:t xml:space="preserve">to</w:t>
      </w:r>
      <w:r>
        <w:t xml:space="preserve"> </w:t>
      </w:r>
      <m:oMath>
        <m:r>
          <m:t>ρ</m:t>
        </m:r>
        <m:d>
          <m:dPr>
            <m:begChr m:val="("/>
            <m:endChr m:val=")"/>
            <m:sepChr m:val=""/>
            <m:grow/>
          </m:dPr>
          <m:e>
            <m:sSub>
              <m:e>
                <m:r>
                  <m:t>d</m:t>
                </m:r>
              </m:e>
              <m:sub>
                <m:r>
                  <m:rPr>
                    <m:nor/>
                    <m:sty m:val="p"/>
                  </m:rPr>
                  <m:t>count</m:t>
                </m:r>
              </m:sub>
            </m:sSub>
            <m:r>
              <m:rPr>
                <m:sty m:val="p"/>
              </m:rPr>
              <m:t>,</m:t>
            </m:r>
            <m:bar>
              <m:barPr>
                <m:pos m:val="top"/>
              </m:barPr>
              <m:e>
                <m:r>
                  <m:rPr>
                    <m:sty m:val="p"/>
                  </m:rPr>
                  <m:t>cos</m:t>
                </m:r>
              </m:e>
            </m:bar>
          </m:e>
        </m:d>
        <m:r>
          <m:rPr>
            <m:sty m:val="p"/>
          </m:rPr>
          <m:t>=</m:t>
        </m:r>
        <m:r>
          <m:rPr>
            <m:sty m:val="p"/>
          </m:rPr>
          <m:t>+</m:t>
        </m:r>
        <m:r>
          <m:t>0.523</m:t>
        </m:r>
      </m:oMath>
      <w:r>
        <w:t xml:space="preserve"> </w:t>
      </w:r>
      <w:r>
        <w:t xml:space="preserve">(</w:t>
      </w:r>
      <m:oMath>
        <m:r>
          <m:t>p</m:t>
        </m:r>
        <m:r>
          <m:rPr>
            <m:sty m:val="p"/>
          </m:rPr>
          <m:t>=</m:t>
        </m:r>
        <m:r>
          <m:t>0.087</m:t>
        </m:r>
      </m:oMath>
      <w:r>
        <w:t xml:space="preserve">,</w:t>
      </w:r>
      <w:r>
        <w:t xml:space="preserve"> </w:t>
      </w:r>
      <m:oMath>
        <m:r>
          <m:t>n</m:t>
        </m:r>
        <m:r>
          <m:rPr>
            <m:sty m:val="p"/>
          </m:rPr>
          <m:t>=</m:t>
        </m:r>
        <m:r>
          <m:t>12</m:t>
        </m:r>
      </m:oMath>
      <w:r>
        <w:t xml:space="preserve">). On a controlled subset, a residual d-band signal of moderate effect size emerges. Pd at</w:t>
      </w:r>
      <w:r>
        <w:t xml:space="preserve"> </w:t>
      </w:r>
      <m:oMath>
        <m:sSub>
          <m:e>
            <m:r>
              <m:t>n</m:t>
            </m:r>
          </m:e>
          <m:sub>
            <m:r>
              <m:rPr>
                <m:nor/>
                <m:sty m:val="p"/>
              </m:rPr>
              <m:t>pairs</m:t>
            </m:r>
          </m:sub>
        </m:sSub>
        <m:r>
          <m:rPr>
            <m:sty m:val="p"/>
          </m:rPr>
          <m:t>=</m:t>
        </m:r>
        <m:r>
          <m:t>1</m:t>
        </m:r>
        <m:r>
          <m:rPr>
            <m:sty m:val="p"/>
          </m:rPr>
          <m:t>,</m:t>
        </m:r>
        <m:bar>
          <m:barPr>
            <m:pos m:val="top"/>
          </m:barPr>
          <m:e>
            <m:r>
              <m:rPr>
                <m:sty m:val="p"/>
              </m:rPr>
              <m:t>cos</m:t>
            </m:r>
          </m:e>
        </m:bar>
        <m:r>
          <m:rPr>
            <m:sty m:val="p"/>
          </m:rPr>
          <m:t>=</m:t>
        </m:r>
        <m:r>
          <m:t>0.18</m:t>
        </m:r>
      </m:oMath>
      <w:r>
        <w:t xml:space="preserve"> </w:t>
      </w:r>
      <w:r>
        <w:t xml:space="preserve">and Ta/Nb at</w:t>
      </w:r>
      <w:r>
        <w:t xml:space="preserve"> </w:t>
      </w:r>
      <m:oMath>
        <m:sSub>
          <m:e>
            <m:r>
              <m:t>n</m:t>
            </m:r>
          </m:e>
          <m:sub>
            <m:r>
              <m:rPr>
                <m:nor/>
                <m:sty m:val="p"/>
              </m:rPr>
              <m:t>pairs</m:t>
            </m:r>
          </m:sub>
        </m:sSub>
        <m:r>
          <m:rPr>
            <m:sty m:val="p"/>
          </m:rPr>
          <m:t>=</m:t>
        </m:r>
        <m:r>
          <m:t>1</m:t>
        </m:r>
        <m:r>
          <m:rPr>
            <m:sty m:val="p"/>
          </m:rPr>
          <m:t>,</m:t>
        </m:r>
        <m:bar>
          <m:barPr>
            <m:pos m:val="top"/>
          </m:barPr>
          <m:e>
            <m:r>
              <m:rPr>
                <m:sty m:val="p"/>
              </m:rPr>
              <m:t>cos</m:t>
            </m:r>
          </m:e>
        </m:bar>
        <m:r>
          <m:rPr>
            <m:sty m:val="p"/>
          </m:rPr>
          <m:t>≈</m:t>
        </m:r>
        <m:r>
          <m:t>0.99</m:t>
        </m:r>
      </m:oMath>
      <w:r>
        <w:t xml:space="preserve"> </w:t>
      </w:r>
      <w:r>
        <w:t xml:space="preserve">are noisy in opposite directions; once both are removed, the d-band correlation that the full sample averages to zero becomes visible. This is itself a Simpson’s-paradox structure on our own analysis: a small confounder (</w:t>
      </w:r>
      <m:oMath>
        <m:sSub>
          <m:e>
            <m:r>
              <m:t>n</m:t>
            </m:r>
          </m:e>
          <m:sub>
            <m:r>
              <m:rPr>
                <m:nor/>
                <m:sty m:val="p"/>
              </m:rPr>
              <m:t>pairs</m:t>
            </m:r>
          </m:sub>
        </m:sSub>
      </m:oMath>
      <w:r>
        <w:t xml:space="preserve"> </w:t>
      </w:r>
      <w:r>
        <w:t xml:space="preserve">outliers) drove a real underlying effect to apparent null.</w:t>
      </w:r>
    </w:p>
    <w:p>
      <w:pPr>
        <w:pStyle w:val="BodyText"/>
      </w:pPr>
      <w:r>
        <w:t xml:space="preserve">image</w:t>
      </w:r>
    </w:p>
    <w:p>
      <w:pPr>
        <w:pStyle w:val="BodyText"/>
      </w:pPr>
      <w:r>
        <w:t xml:space="preserve">The practical conclusion: the per-element alignment dichotomy is real as a numerical phenomenon, but the dominant predictor is sample size, not d-band fullness. A residual d-band effect of moderate magnitude likely exists and warrants confirmation on a larger element set with controlled fitting depth (</w:t>
      </w:r>
      <m:oMath>
        <m:sSub>
          <m:e>
            <m:r>
              <m:t>n</m:t>
            </m:r>
          </m:e>
          <m:sub>
            <m:r>
              <m:rPr>
                <m:nor/>
                <m:sty m:val="p"/>
              </m:rPr>
              <m:t>pairs</m:t>
            </m:r>
          </m:sub>
        </m:sSub>
        <m:r>
          <m:rPr>
            <m:sty m:val="p"/>
          </m:rPr>
          <m:t>≥</m:t>
        </m:r>
        <m:r>
          <m:t>6</m:t>
        </m:r>
      </m:oMath>
      <w:r>
        <w:t xml:space="preserve">). The methodological lesson generalizes: any cross-element benchmark that does not control for fitting depth will conflate sampling effects with element-intrinsic physics. We recommend reporting</w:t>
      </w:r>
      <w:r>
        <w:t xml:space="preserve"> </w:t>
      </w:r>
      <m:oMath>
        <m:sSub>
          <m:e>
            <m:r>
              <m:t>n</m:t>
            </m:r>
          </m:e>
          <m:sub>
            <m:r>
              <m:rPr>
                <m:nor/>
                <m:sty m:val="p"/>
              </m:rPr>
              <m:t>pairs</m:t>
            </m:r>
          </m:sub>
        </m:sSub>
      </m:oMath>
      <w:r>
        <w:t xml:space="preserve"> </w:t>
      </w:r>
      <w:r>
        <w:t xml:space="preserve">or its analog alongside any per-element accuracy metric, and using weighted estimators that down-weight low-pair-count entries.</w:t>
      </w:r>
    </w:p>
    <w:bookmarkEnd w:id="35"/>
    <w:bookmarkStart w:id="37" w:name="subsec:foundation_mlip"/>
    <w:p>
      <w:pPr>
        <w:pStyle w:val="Heading2"/>
      </w:pPr>
      <w:r>
        <w:t xml:space="preserve">Foundation MLIP extension and cross-paradigm universality</w:t>
      </w:r>
    </w:p>
    <w:p>
      <w:pPr>
        <w:pStyle w:val="FirstParagraph"/>
      </w:pPr>
      <w:r>
        <w:t xml:space="preserve">The preceding sections establish that classical interatomic potentials exhibit structured, low-dimensional error manifolds (hyper-ribbons) and that cross-style alignment patterns are dominated by sample-size confounders rather than electronic-structure determinants. A critical question remains: are these geometric properties intrinsic to the classical potential form, or do they reflect deeper constraints of the materials themselves? To test the paradigm-independence of the hyper-ribbon structure, this study extends the analysis to three foundation machine-learning interatomic potentials (MLIPs)—pre-trained neural network potentials that are architecture-agnostic and trained on large-scale density functional theory (DFT) datasets. Specifically, MACE-MP-0 (small) </w:t>
      </w:r>
      <w:r>
        <w:t xml:space="preserve">, a message-passing neural network trained on the MPtrj dataset; CHGNet </w:t>
      </w:r>
      <w:r>
        <w:t xml:space="preserve">, a crystal Hamiltonian graph neural network; and Orb-v3 </w:t>
      </w:r>
      <w:r>
        <w:t xml:space="preserve">, an orbital-based equivariant neural network, were evaluated on the same 15 elemental metals.</w:t>
      </w:r>
    </w:p>
    <w:p>
      <w:pPr>
        <w:pStyle w:val="BodyText"/>
      </w:pPr>
      <w:r>
        <w:t xml:space="preserve">Elastic constants (</w:t>
      </w:r>
      <m:oMath>
        <m:sSub>
          <m:e>
            <m:r>
              <m:t>C</m:t>
            </m:r>
          </m:e>
          <m:sub>
            <m:r>
              <m:t>11</m:t>
            </m:r>
          </m:sub>
        </m:sSub>
      </m:oMath>
      <w:r>
        <w:t xml:space="preserve">,</w:t>
      </w:r>
      <w:r>
        <w:t xml:space="preserve"> </w:t>
      </w:r>
      <m:oMath>
        <m:sSub>
          <m:e>
            <m:r>
              <m:t>C</m:t>
            </m:r>
          </m:e>
          <m:sub>
            <m:r>
              <m:t>12</m:t>
            </m:r>
          </m:sub>
        </m:sSub>
      </m:oMath>
      <w:r>
        <w:t xml:space="preserve">,</w:t>
      </w:r>
      <w:r>
        <w:t xml:space="preserve"> </w:t>
      </w:r>
      <m:oMath>
        <m:sSub>
          <m:e>
            <m:r>
              <m:t>C</m:t>
            </m:r>
          </m:e>
          <m:sub>
            <m:r>
              <m:t>44</m:t>
            </m:r>
          </m:sub>
        </m:sSub>
      </m:oMath>
      <w:r>
        <w:t xml:space="preserve">) were computed via the strain-energy method with a maximum strain of</w:t>
      </w:r>
      <w:r>
        <w:t xml:space="preserve"> </w:t>
      </w:r>
      <m:oMath>
        <m:sSub>
          <m:e>
            <m:r>
              <m:t>ε</m:t>
            </m:r>
          </m:e>
          <m:sub>
            <m:r>
              <m:rPr>
                <m:sty m:val="p"/>
              </m:rPr>
              <m:t>max</m:t>
            </m:r>
          </m:sub>
        </m:sSub>
        <m:r>
          <m:rPr>
            <m:sty m:val="p"/>
          </m:rPr>
          <m:t>=</m:t>
        </m:r>
        <m:r>
          <m:t>0.5</m:t>
        </m:r>
        <m:r>
          <m:rPr>
            <m:sty m:val="p"/>
          </m:rPr>
          <m:t>%</m:t>
        </m:r>
      </m:oMath>
      <w:r>
        <w:t xml:space="preserve">, using the same reference data as the classical analysis (Simmons &amp; Wang </w:t>
      </w:r>
      <w:r>
        <w:t xml:space="preserve"> </w:t>
      </w:r>
      <w:r>
        <w:t xml:space="preserve">for FCC metals and Materials Project data supplemented by Simmons &amp; Wang for BCC metals). Relative-error vectors</w:t>
      </w:r>
      <w:r>
        <w:t xml:space="preserve"> </w:t>
      </w:r>
      <m:oMath>
        <m:acc>
          <m:accPr>
            <m:chr m:val="⃗"/>
          </m:accPr>
          <m:e>
            <m:r>
              <m:t>δ</m:t>
            </m:r>
          </m:e>
        </m:acc>
        <m:r>
          <m:rPr>
            <m:sty m:val="p"/>
          </m:rPr>
          <m:t>=</m:t>
        </m:r>
        <m:d>
          <m:dPr>
            <m:begChr m:val="("/>
            <m:endChr m:val=")"/>
            <m:sepChr m:val=""/>
            <m:grow/>
          </m:dPr>
          <m:e>
            <m:sSub>
              <m:e>
                <m:r>
                  <m:t>δ</m:t>
                </m:r>
              </m:e>
              <m:sub>
                <m:r>
                  <m:t>11</m:t>
                </m:r>
              </m:sub>
            </m:sSub>
            <m:r>
              <m:rPr>
                <m:sty m:val="p"/>
              </m:rPr>
              <m:t>,</m:t>
            </m:r>
            <m:sSub>
              <m:e>
                <m:r>
                  <m:t>δ</m:t>
                </m:r>
              </m:e>
              <m:sub>
                <m:r>
                  <m:t>12</m:t>
                </m:r>
              </m:sub>
            </m:sSub>
            <m:r>
              <m:rPr>
                <m:sty m:val="p"/>
              </m:rPr>
              <m:t>,</m:t>
            </m:r>
            <m:sSub>
              <m:e>
                <m:r>
                  <m:t>δ</m:t>
                </m:r>
              </m:e>
              <m:sub>
                <m:r>
                  <m:t>44</m:t>
                </m:r>
              </m:sub>
            </m:sSub>
          </m:e>
        </m:d>
      </m:oMath>
      <w:r>
        <w:t xml:space="preserve"> </w:t>
      </w:r>
      <w:r>
        <w:t xml:space="preserve">were constructed with</w:t>
      </w:r>
      <w:r>
        <w:t xml:space="preserve"> </w:t>
      </w:r>
      <m:oMath>
        <m:sSub>
          <m:e>
            <m:r>
              <m:t>δ</m:t>
            </m:r>
          </m:e>
          <m:sub>
            <m:r>
              <m:t>i</m:t>
            </m:r>
            <m:r>
              <m:t>j</m:t>
            </m:r>
          </m:sub>
        </m:sSub>
        <m:r>
          <m:rPr>
            <m:sty m:val="p"/>
          </m:rPr>
          <m:t>=</m:t>
        </m:r>
        <m:d>
          <m:dPr>
            <m:begChr m:val="("/>
            <m:endChr m:val=")"/>
            <m:sepChr m:val=""/>
            <m:grow/>
          </m:dPr>
          <m:e>
            <m:sSubSup>
              <m:e>
                <m:r>
                  <m:t>C</m:t>
                </m:r>
              </m:e>
              <m:sub>
                <m:r>
                  <m:t>i</m:t>
                </m:r>
                <m:r>
                  <m:t>j</m:t>
                </m:r>
              </m:sub>
              <m:sup>
                <m:r>
                  <m:rPr>
                    <m:nor/>
                    <m:sty m:val="p"/>
                  </m:rPr>
                  <m:t>pred</m:t>
                </m:r>
              </m:sup>
            </m:sSubSup>
            <m:r>
              <m:rPr>
                <m:sty m:val="p"/>
              </m:rPr>
              <m:t>/</m:t>
            </m:r>
            <m:sSubSup>
              <m:e>
                <m:r>
                  <m:t>C</m:t>
                </m:r>
              </m:e>
              <m:sub>
                <m:r>
                  <m:t>i</m:t>
                </m:r>
                <m:r>
                  <m:t>j</m:t>
                </m:r>
              </m:sub>
              <m:sup>
                <m:r>
                  <m:rPr>
                    <m:nor/>
                    <m:sty m:val="p"/>
                  </m:rPr>
                  <m:t>ref</m:t>
                </m:r>
              </m:sup>
            </m:sSubSup>
          </m:e>
        </m:d>
        <m:r>
          <m:rPr>
            <m:sty m:val="p"/>
          </m:rPr>
          <m:t>−</m:t>
        </m:r>
        <m:r>
          <m:t>1</m:t>
        </m:r>
      </m:oMath>
      <w:r>
        <w:t xml:space="preserve">, normalized to unit length, and all pairwise cosine similarities between MLIP error vectors were computed per element.</w:t>
      </w:r>
    </w:p>
    <w:p>
      <w:pPr>
        <w:pStyle w:val="BodyText"/>
      </w:pPr>
      <w:r>
        <w:t xml:space="preserve">The cross-MLIP alignment varies dramatically by element, as shown in Table </w:t>
      </w:r>
      <w:hyperlink w:anchor="tab:foundation_classical_comparison">
        <w:r>
          <w:rPr>
            <w:rStyle w:val="Hyperlink"/>
          </w:rPr>
          <w:t xml:space="preserve">3</w:t>
        </w:r>
      </w:hyperlink>
      <w:r>
        <w:t xml:space="preserve">. Several elements exhibit near-perfect agreement among foundation models: Au (</w:t>
      </w:r>
      <m:oMath>
        <m:r>
          <m:t>0.984</m:t>
        </m:r>
      </m:oMath>
      <w:r>
        <w:t xml:space="preserve">), Pt (</w:t>
      </w:r>
      <m:oMath>
        <m:r>
          <m:t>0.934</m:t>
        </m:r>
      </m:oMath>
      <w:r>
        <w:t xml:space="preserve">), Ta (</w:t>
      </w:r>
      <m:oMath>
        <m:r>
          <m:t>0.969</m:t>
        </m:r>
      </m:oMath>
      <w:r>
        <w:t xml:space="preserve">), and Ag (</w:t>
      </w:r>
      <m:oMath>
        <m:r>
          <m:t>0.950</m:t>
        </m:r>
      </m:oMath>
      <w:r>
        <w:t xml:space="preserve">) all display high pairwise cosine similarities, indicating that distinct neural network architectures commit nearly identical directional errors in elastic constant space. Conversely, certain transition metals show negative or near-zero alignment: Cr (</w:t>
      </w:r>
      <m:oMath>
        <m:r>
          <m:rPr>
            <m:sty m:val="p"/>
          </m:rPr>
          <m:t>−</m:t>
        </m:r>
        <m:r>
          <m:t>0.200</m:t>
        </m:r>
      </m:oMath>
      <w:r>
        <w:t xml:space="preserve">), V (</w:t>
      </w:r>
      <m:oMath>
        <m:r>
          <m:rPr>
            <m:sty m:val="p"/>
          </m:rPr>
          <m:t>−</m:t>
        </m:r>
        <m:r>
          <m:t>0.249</m:t>
        </m:r>
      </m:oMath>
      <w:r>
        <w:t xml:space="preserve">), and Nb (</w:t>
      </w:r>
      <m:oMath>
        <m:r>
          <m:t>0.022</m:t>
        </m:r>
      </m:oMath>
      <w:r>
        <w:t xml:space="preserve">) exhibit MLIP error vectors that point in divergent or even opposing directions. Notably, Cr and V—both BCC refractory metals with complex magnetic and electronic structure—show the weakest cross-MLIP agreement, suggesting that these elements challenge the representational capacity of foundation models in ways that are architecture-dependent.</w:t>
      </w:r>
    </w:p>
    <w:bookmarkStart w:id="36" w:name="tab:foundation_classical_comparison"/>
    <w:p>
      <w:pPr>
        <w:pStyle w:val="TableCaption"/>
      </w:pPr>
      <w:r>
        <w:t xml:space="preserve">Per-element comparison of classical cross-style mean cosine similarity and foundation MLIP mean cosine similarity. Elements are ordered by decreasing classical mean cosine. The FCC/BCC crystal structure label is included for reference. Bold values highlight the higher of the two means per element.</w:t>
      </w:r>
    </w:p>
    <w:tbl>
      <w:tblPr>
        <w:tblStyle w:val="Table"/>
        <w:tblW w:type="auto" w:w="0"/>
        <w:tblLook w:firstRow="1" w:lastRow="0" w:firstColumn="0" w:lastColumn="0" w:noHBand="0" w:noVBand="0" w:val="0020"/>
        <w:tblCaption w:val="Per-element comparison of classical cross-style mean cosine similarity and foundation MLIP mean cosine similarity. Elements are ordered by decreasing classical mean cosine. The FCC/BCC crystal structure label is included for reference. Bold values highlight the higher of the two means per element."/>
      </w:tblPr>
      <w:tblGrid>
        <w:gridCol w:w="1584"/>
        <w:gridCol w:w="1584"/>
        <w:gridCol w:w="1584"/>
        <w:gridCol w:w="1584"/>
        <w:gridCol w:w="1584"/>
      </w:tblGrid>
      <w:tr>
        <w:trPr>
          <w:tblHeader w:val="true"/>
        </w:trPr>
        <w:tc>
          <w:tcPr/>
          <w:p>
            <w:pPr>
              <w:pStyle w:val="Compact"/>
              <w:jc w:val="left"/>
            </w:pPr>
            <w:r>
              <w:t xml:space="preserve">Element</w:t>
            </w:r>
          </w:p>
        </w:tc>
        <w:tc>
          <w:tcPr/>
          <w:p>
            <w:pPr>
              <w:pStyle w:val="Compact"/>
              <w:jc w:val="center"/>
            </w:pPr>
            <w:r>
              <w:t xml:space="preserve">Structure</w:t>
            </w:r>
          </w:p>
        </w:tc>
        <w:tc>
          <w:tcPr/>
          <w:p>
            <w:pPr>
              <w:pStyle w:val="Compact"/>
              <w:jc w:val="center"/>
            </w:pPr>
            <w:r>
              <w:t xml:space="preserve">Classical Mean</w:t>
            </w:r>
          </w:p>
        </w:tc>
        <w:tc>
          <w:tcPr/>
          <w:p>
            <w:pPr>
              <w:pStyle w:val="Compact"/>
              <w:jc w:val="center"/>
            </w:pPr>
            <w:r>
              <w:t xml:space="preserve">MLIP Mean</w:t>
            </w:r>
          </w:p>
        </w:tc>
        <w:tc>
          <w:tcPr/>
          <w:p>
            <w:pPr>
              <w:pStyle w:val="Compact"/>
              <w:jc w:val="center"/>
            </w:pPr>
            <w:r>
              <w:t xml:space="preserve">MLIP Range</w:t>
            </w:r>
          </w:p>
        </w:tc>
      </w:tr>
      <w:tr>
        <w:tc>
          <w:tcPr/>
          <w:p>
            <w:pPr>
              <w:pStyle w:val="Compact"/>
              <w:jc w:val="left"/>
            </w:pPr>
            <w:r>
              <w:t xml:space="preserve">Ta</w:t>
            </w:r>
          </w:p>
        </w:tc>
        <w:tc>
          <w:tcPr/>
          <w:p>
            <w:pPr>
              <w:pStyle w:val="Compact"/>
              <w:jc w:val="center"/>
            </w:pPr>
            <w:r>
              <w:t xml:space="preserve">BCC</w:t>
            </w:r>
          </w:p>
        </w:tc>
        <w:tc>
          <w:tcPr/>
          <w:p>
            <w:pPr>
              <w:pStyle w:val="Compact"/>
              <w:jc w:val="center"/>
            </w:pPr>
            <w:r>
              <w:rPr>
                <w:bCs/>
                <w:b/>
              </w:rPr>
              <w:t xml:space="preserve">0.990</w:t>
            </w:r>
          </w:p>
        </w:tc>
        <w:tc>
          <w:tcPr/>
          <w:p>
            <w:pPr>
              <w:pStyle w:val="Compact"/>
              <w:jc w:val="center"/>
            </w:pPr>
            <w:r>
              <w:t xml:space="preserve">0.969</w:t>
            </w:r>
          </w:p>
        </w:tc>
        <w:tc>
          <w:tcPr/>
          <w:p>
            <w:pPr>
              <w:pStyle w:val="Compact"/>
              <w:jc w:val="center"/>
            </w:pPr>
            <m:oMath>
              <m:d>
                <m:dPr>
                  <m:begChr m:val="["/>
                  <m:endChr m:val="]"/>
                  <m:sepChr m:val=""/>
                  <m:grow/>
                </m:dPr>
                <m:e>
                  <m:r>
                    <m:t>0.938</m:t>
                  </m:r>
                  <m:r>
                    <m:rPr>
                      <m:sty m:val="p"/>
                    </m:rPr>
                    <m:t>,</m:t>
                  </m:r>
                  <m:r>
                    <m:t> </m:t>
                  </m:r>
                  <m:r>
                    <m:t>0.988</m:t>
                  </m:r>
                </m:e>
              </m:d>
            </m:oMath>
          </w:p>
        </w:tc>
      </w:tr>
      <w:tr>
        <w:tc>
          <w:tcPr/>
          <w:p>
            <w:pPr>
              <w:pStyle w:val="Compact"/>
              <w:jc w:val="left"/>
            </w:pPr>
            <w:r>
              <w:t xml:space="preserve">Nb</w:t>
            </w:r>
          </w:p>
        </w:tc>
        <w:tc>
          <w:tcPr/>
          <w:p>
            <w:pPr>
              <w:pStyle w:val="Compact"/>
              <w:jc w:val="center"/>
            </w:pPr>
            <w:r>
              <w:t xml:space="preserve">BCC</w:t>
            </w:r>
          </w:p>
        </w:tc>
        <w:tc>
          <w:tcPr/>
          <w:p>
            <w:pPr>
              <w:pStyle w:val="Compact"/>
              <w:jc w:val="center"/>
            </w:pPr>
            <w:r>
              <w:rPr>
                <w:bCs/>
                <w:b/>
              </w:rPr>
              <w:t xml:space="preserve">0.976</w:t>
            </w:r>
          </w:p>
        </w:tc>
        <w:tc>
          <w:tcPr/>
          <w:p>
            <w:pPr>
              <w:pStyle w:val="Compact"/>
              <w:jc w:val="center"/>
            </w:pPr>
            <w:r>
              <w:t xml:space="preserve">0.022</w:t>
            </w:r>
          </w:p>
        </w:tc>
        <w:tc>
          <w:tcPr/>
          <w:p>
            <w:pPr>
              <w:pStyle w:val="Compact"/>
              <w:jc w:val="center"/>
            </w:pPr>
            <m:oMath>
              <m:d>
                <m:dPr>
                  <m:begChr m:val="["/>
                  <m:endChr m:val="]"/>
                  <m:sepChr m:val=""/>
                  <m:grow/>
                </m:dPr>
                <m:e>
                  <m:r>
                    <m:rPr>
                      <m:sty m:val="p"/>
                    </m:rPr>
                    <m:t>−</m:t>
                  </m:r>
                  <m:r>
                    <m:t>0.511</m:t>
                  </m:r>
                  <m:r>
                    <m:rPr>
                      <m:sty m:val="p"/>
                    </m:rPr>
                    <m:t>,</m:t>
                  </m:r>
                  <m:r>
                    <m:t> </m:t>
                  </m:r>
                  <m:r>
                    <m:t>0.975</m:t>
                  </m:r>
                </m:e>
              </m:d>
            </m:oMath>
          </w:p>
        </w:tc>
      </w:tr>
      <w:tr>
        <w:tc>
          <w:tcPr/>
          <w:p>
            <w:pPr>
              <w:pStyle w:val="Compact"/>
              <w:jc w:val="left"/>
            </w:pPr>
            <w:r>
              <w:t xml:space="preserve">Au</w:t>
            </w:r>
          </w:p>
        </w:tc>
        <w:tc>
          <w:tcPr/>
          <w:p>
            <w:pPr>
              <w:pStyle w:val="Compact"/>
              <w:jc w:val="center"/>
            </w:pPr>
            <w:r>
              <w:t xml:space="preserve">FCC</w:t>
            </w:r>
          </w:p>
        </w:tc>
        <w:tc>
          <w:tcPr/>
          <w:p>
            <w:pPr>
              <w:pStyle w:val="Compact"/>
              <w:jc w:val="center"/>
            </w:pPr>
            <w:r>
              <w:t xml:space="preserve">0.948</w:t>
            </w:r>
          </w:p>
        </w:tc>
        <w:tc>
          <w:tcPr/>
          <w:p>
            <w:pPr>
              <w:pStyle w:val="Compact"/>
              <w:jc w:val="center"/>
            </w:pPr>
            <w:r>
              <w:rPr>
                <w:bCs/>
                <w:b/>
              </w:rPr>
              <w:t xml:space="preserve">0.984</w:t>
            </w:r>
          </w:p>
        </w:tc>
        <w:tc>
          <w:tcPr/>
          <w:p>
            <w:pPr>
              <w:pStyle w:val="Compact"/>
              <w:jc w:val="center"/>
            </w:pPr>
            <m:oMath>
              <m:d>
                <m:dPr>
                  <m:begChr m:val="["/>
                  <m:endChr m:val="]"/>
                  <m:sepChr m:val=""/>
                  <m:grow/>
                </m:dPr>
                <m:e>
                  <m:r>
                    <m:t>0.971</m:t>
                  </m:r>
                  <m:r>
                    <m:rPr>
                      <m:sty m:val="p"/>
                    </m:rPr>
                    <m:t>,</m:t>
                  </m:r>
                  <m:r>
                    <m:t> </m:t>
                  </m:r>
                  <m:r>
                    <m:t>0.992</m:t>
                  </m:r>
                </m:e>
              </m:d>
            </m:oMath>
          </w:p>
        </w:tc>
      </w:tr>
      <w:tr>
        <w:tc>
          <w:tcPr/>
          <w:p>
            <w:pPr>
              <w:pStyle w:val="Compact"/>
              <w:jc w:val="left"/>
            </w:pPr>
            <w:r>
              <w:t xml:space="preserve">Ag</w:t>
            </w:r>
          </w:p>
        </w:tc>
        <w:tc>
          <w:tcPr/>
          <w:p>
            <w:pPr>
              <w:pStyle w:val="Compact"/>
              <w:jc w:val="center"/>
            </w:pPr>
            <w:r>
              <w:t xml:space="preserve">FCC</w:t>
            </w:r>
          </w:p>
        </w:tc>
        <w:tc>
          <w:tcPr/>
          <w:p>
            <w:pPr>
              <w:pStyle w:val="Compact"/>
              <w:jc w:val="center"/>
            </w:pPr>
            <w:r>
              <w:t xml:space="preserve">0.906</w:t>
            </w:r>
          </w:p>
        </w:tc>
        <w:tc>
          <w:tcPr/>
          <w:p>
            <w:pPr>
              <w:pStyle w:val="Compact"/>
              <w:jc w:val="center"/>
            </w:pPr>
            <w:r>
              <w:rPr>
                <w:bCs/>
                <w:b/>
              </w:rPr>
              <w:t xml:space="preserve">0.950</w:t>
            </w:r>
          </w:p>
        </w:tc>
        <w:tc>
          <w:tcPr/>
          <w:p>
            <w:pPr>
              <w:pStyle w:val="Compact"/>
              <w:jc w:val="center"/>
            </w:pPr>
            <m:oMath>
              <m:d>
                <m:dPr>
                  <m:begChr m:val="["/>
                  <m:endChr m:val="]"/>
                  <m:sepChr m:val=""/>
                  <m:grow/>
                </m:dPr>
                <m:e>
                  <m:r>
                    <m:t>0.922</m:t>
                  </m:r>
                  <m:r>
                    <m:rPr>
                      <m:sty m:val="p"/>
                    </m:rPr>
                    <m:t>,</m:t>
                  </m:r>
                  <m:r>
                    <m:t> </m:t>
                  </m:r>
                  <m:r>
                    <m:t>0.999</m:t>
                  </m:r>
                </m:e>
              </m:d>
            </m:oMath>
          </w:p>
        </w:tc>
      </w:tr>
      <w:tr>
        <w:tc>
          <w:tcPr/>
          <w:p>
            <w:pPr>
              <w:pStyle w:val="Compact"/>
              <w:jc w:val="left"/>
            </w:pPr>
            <w:r>
              <w:t xml:space="preserve">Cr</w:t>
            </w:r>
          </w:p>
        </w:tc>
        <w:tc>
          <w:tcPr/>
          <w:p>
            <w:pPr>
              <w:pStyle w:val="Compact"/>
              <w:jc w:val="center"/>
            </w:pPr>
            <w:r>
              <w:t xml:space="preserve">BCC</w:t>
            </w:r>
          </w:p>
        </w:tc>
        <w:tc>
          <w:tcPr/>
          <w:p>
            <w:pPr>
              <w:pStyle w:val="Compact"/>
              <w:jc w:val="center"/>
            </w:pPr>
            <w:r>
              <w:rPr>
                <w:bCs/>
                <w:b/>
              </w:rPr>
              <w:t xml:space="preserve">0.904</w:t>
            </w:r>
          </w:p>
        </w:tc>
        <w:tc>
          <w:tcPr/>
          <w:p>
            <w:pPr>
              <w:pStyle w:val="Compact"/>
              <w:jc w:val="center"/>
            </w:pPr>
            <m:oMath>
              <m:r>
                <m:rPr>
                  <m:sty m:val="p"/>
                </m:rPr>
                <m:t>−</m:t>
              </m:r>
              <m:r>
                <m:t>0.200</m:t>
              </m:r>
            </m:oMath>
          </w:p>
        </w:tc>
        <w:tc>
          <w:tcPr/>
          <w:p>
            <w:pPr>
              <w:pStyle w:val="Compact"/>
              <w:jc w:val="center"/>
            </w:pPr>
            <m:oMath>
              <m:d>
                <m:dPr>
                  <m:begChr m:val="["/>
                  <m:endChr m:val="]"/>
                  <m:sepChr m:val=""/>
                  <m:grow/>
                </m:dPr>
                <m:e>
                  <m:r>
                    <m:rPr>
                      <m:sty m:val="p"/>
                    </m:rPr>
                    <m:t>−</m:t>
                  </m:r>
                  <m:r>
                    <m:t>0.787</m:t>
                  </m:r>
                  <m:r>
                    <m:rPr>
                      <m:sty m:val="p"/>
                    </m:rPr>
                    <m:t>,</m:t>
                  </m:r>
                  <m:r>
                    <m:t> </m:t>
                  </m:r>
                  <m:r>
                    <m:t>0.938</m:t>
                  </m:r>
                </m:e>
              </m:d>
            </m:oMath>
          </w:p>
        </w:tc>
      </w:tr>
      <w:tr>
        <w:tc>
          <w:tcPr/>
          <w:p>
            <w:pPr>
              <w:pStyle w:val="Compact"/>
              <w:jc w:val="left"/>
            </w:pPr>
            <w:r>
              <w:t xml:space="preserve">Pb</w:t>
            </w:r>
          </w:p>
        </w:tc>
        <w:tc>
          <w:tcPr/>
          <w:p>
            <w:pPr>
              <w:pStyle w:val="Compact"/>
              <w:jc w:val="center"/>
            </w:pPr>
            <w:r>
              <w:t xml:space="preserve">FCC</w:t>
            </w:r>
          </w:p>
        </w:tc>
        <w:tc>
          <w:tcPr/>
          <w:p>
            <w:pPr>
              <w:pStyle w:val="Compact"/>
              <w:jc w:val="center"/>
            </w:pPr>
            <w:r>
              <w:rPr>
                <w:bCs/>
                <w:b/>
              </w:rPr>
              <w:t xml:space="preserve">0.885</w:t>
            </w:r>
          </w:p>
        </w:tc>
        <w:tc>
          <w:tcPr/>
          <w:p>
            <w:pPr>
              <w:pStyle w:val="Compact"/>
              <w:jc w:val="center"/>
            </w:pPr>
            <w:r>
              <w:t xml:space="preserve">0.560</w:t>
            </w:r>
          </w:p>
        </w:tc>
        <w:tc>
          <w:tcPr/>
          <w:p>
            <w:pPr>
              <w:pStyle w:val="Compact"/>
              <w:jc w:val="center"/>
            </w:pPr>
            <m:oMath>
              <m:d>
                <m:dPr>
                  <m:begChr m:val="["/>
                  <m:endChr m:val="]"/>
                  <m:sepChr m:val=""/>
                  <m:grow/>
                </m:dPr>
                <m:e>
                  <m:r>
                    <m:t>0.200</m:t>
                  </m:r>
                  <m:r>
                    <m:rPr>
                      <m:sty m:val="p"/>
                    </m:rPr>
                    <m:t>,</m:t>
                  </m:r>
                  <m:r>
                    <m:t> </m:t>
                  </m:r>
                  <m:r>
                    <m:t>0.861</m:t>
                  </m:r>
                </m:e>
              </m:d>
            </m:oMath>
          </w:p>
        </w:tc>
      </w:tr>
      <w:tr>
        <w:tc>
          <w:tcPr/>
          <w:p>
            <w:pPr>
              <w:pStyle w:val="Compact"/>
              <w:jc w:val="left"/>
            </w:pPr>
            <w:r>
              <w:t xml:space="preserve">Pt</w:t>
            </w:r>
          </w:p>
        </w:tc>
        <w:tc>
          <w:tcPr/>
          <w:p>
            <w:pPr>
              <w:pStyle w:val="Compact"/>
              <w:jc w:val="center"/>
            </w:pPr>
            <w:r>
              <w:t xml:space="preserve">FCC</w:t>
            </w:r>
          </w:p>
        </w:tc>
        <w:tc>
          <w:tcPr/>
          <w:p>
            <w:pPr>
              <w:pStyle w:val="Compact"/>
              <w:jc w:val="center"/>
            </w:pPr>
            <w:r>
              <w:t xml:space="preserve">0.853</w:t>
            </w:r>
          </w:p>
        </w:tc>
        <w:tc>
          <w:tcPr/>
          <w:p>
            <w:pPr>
              <w:pStyle w:val="Compact"/>
              <w:jc w:val="center"/>
            </w:pPr>
            <w:r>
              <w:rPr>
                <w:bCs/>
                <w:b/>
              </w:rPr>
              <w:t xml:space="preserve">0.934</w:t>
            </w:r>
          </w:p>
        </w:tc>
        <w:tc>
          <w:tcPr/>
          <w:p>
            <w:pPr>
              <w:pStyle w:val="Compact"/>
              <w:jc w:val="center"/>
            </w:pPr>
            <m:oMath>
              <m:d>
                <m:dPr>
                  <m:begChr m:val="["/>
                  <m:endChr m:val="]"/>
                  <m:sepChr m:val=""/>
                  <m:grow/>
                </m:dPr>
                <m:e>
                  <m:r>
                    <m:t>0.888</m:t>
                  </m:r>
                  <m:r>
                    <m:rPr>
                      <m:sty m:val="p"/>
                    </m:rPr>
                    <m:t>,</m:t>
                  </m:r>
                  <m:r>
                    <m:t> </m:t>
                  </m:r>
                  <m:r>
                    <m:t>0.990</m:t>
                  </m:r>
                </m:e>
              </m:d>
            </m:oMath>
          </w:p>
        </w:tc>
      </w:tr>
      <w:tr>
        <w:tc>
          <w:tcPr/>
          <w:p>
            <w:pPr>
              <w:pStyle w:val="Compact"/>
              <w:jc w:val="left"/>
            </w:pPr>
            <w:r>
              <w:t xml:space="preserve">Cu</w:t>
            </w:r>
          </w:p>
        </w:tc>
        <w:tc>
          <w:tcPr/>
          <w:p>
            <w:pPr>
              <w:pStyle w:val="Compact"/>
              <w:jc w:val="center"/>
            </w:pPr>
            <w:r>
              <w:t xml:space="preserve">FCC</w:t>
            </w:r>
          </w:p>
        </w:tc>
        <w:tc>
          <w:tcPr/>
          <w:p>
            <w:pPr>
              <w:pStyle w:val="Compact"/>
              <w:jc w:val="center"/>
            </w:pPr>
            <w:r>
              <w:rPr>
                <w:bCs/>
                <w:b/>
              </w:rPr>
              <w:t xml:space="preserve">0.796</w:t>
            </w:r>
          </w:p>
        </w:tc>
        <w:tc>
          <w:tcPr/>
          <w:p>
            <w:pPr>
              <w:pStyle w:val="Compact"/>
              <w:jc w:val="center"/>
            </w:pPr>
            <w:r>
              <w:t xml:space="preserve">0.671</w:t>
            </w:r>
          </w:p>
        </w:tc>
        <w:tc>
          <w:tcPr/>
          <w:p>
            <w:pPr>
              <w:pStyle w:val="Compact"/>
              <w:jc w:val="center"/>
            </w:pPr>
            <m:oMath>
              <m:d>
                <m:dPr>
                  <m:begChr m:val="["/>
                  <m:endChr m:val="]"/>
                  <m:sepChr m:val=""/>
                  <m:grow/>
                </m:dPr>
                <m:e>
                  <m:r>
                    <m:t>0.426</m:t>
                  </m:r>
                  <m:r>
                    <m:rPr>
                      <m:sty m:val="p"/>
                    </m:rPr>
                    <m:t>,</m:t>
                  </m:r>
                  <m:r>
                    <m:t> </m:t>
                  </m:r>
                  <m:r>
                    <m:t>0.964</m:t>
                  </m:r>
                </m:e>
              </m:d>
            </m:oMath>
          </w:p>
        </w:tc>
      </w:tr>
      <w:tr>
        <w:tc>
          <w:tcPr/>
          <w:p>
            <w:pPr>
              <w:pStyle w:val="Compact"/>
              <w:jc w:val="left"/>
            </w:pPr>
            <w:r>
              <w:t xml:space="preserve">Mo</w:t>
            </w:r>
          </w:p>
        </w:tc>
        <w:tc>
          <w:tcPr/>
          <w:p>
            <w:pPr>
              <w:pStyle w:val="Compact"/>
              <w:jc w:val="center"/>
            </w:pPr>
            <w:r>
              <w:t xml:space="preserve">BCC</w:t>
            </w:r>
          </w:p>
        </w:tc>
        <w:tc>
          <w:tcPr/>
          <w:p>
            <w:pPr>
              <w:pStyle w:val="Compact"/>
              <w:jc w:val="center"/>
            </w:pPr>
            <w:r>
              <w:rPr>
                <w:bCs/>
                <w:b/>
              </w:rPr>
              <w:t xml:space="preserve">0.775</w:t>
            </w:r>
          </w:p>
        </w:tc>
        <w:tc>
          <w:tcPr/>
          <w:p>
            <w:pPr>
              <w:pStyle w:val="Compact"/>
              <w:jc w:val="center"/>
            </w:pPr>
            <w:r>
              <w:t xml:space="preserve">0.346</w:t>
            </w:r>
          </w:p>
        </w:tc>
        <w:tc>
          <w:tcPr/>
          <w:p>
            <w:pPr>
              <w:pStyle w:val="Compact"/>
              <w:jc w:val="center"/>
            </w:pPr>
            <m:oMath>
              <m:d>
                <m:dPr>
                  <m:begChr m:val="["/>
                  <m:endChr m:val="]"/>
                  <m:sepChr m:val=""/>
                  <m:grow/>
                </m:dPr>
                <m:e>
                  <m:r>
                    <m:rPr>
                      <m:sty m:val="p"/>
                    </m:rPr>
                    <m:t>−</m:t>
                  </m:r>
                  <m:r>
                    <m:t>0.131</m:t>
                  </m:r>
                  <m:r>
                    <m:rPr>
                      <m:sty m:val="p"/>
                    </m:rPr>
                    <m:t>,</m:t>
                  </m:r>
                  <m:r>
                    <m:t> </m:t>
                  </m:r>
                  <m:r>
                    <m:t>0.913</m:t>
                  </m:r>
                </m:e>
              </m:d>
            </m:oMath>
          </w:p>
        </w:tc>
      </w:tr>
      <w:tr>
        <w:tc>
          <w:tcPr/>
          <w:p>
            <w:pPr>
              <w:pStyle w:val="Compact"/>
              <w:jc w:val="left"/>
            </w:pPr>
            <w:r>
              <w:t xml:space="preserve">V</w:t>
            </w:r>
          </w:p>
        </w:tc>
        <w:tc>
          <w:tcPr/>
          <w:p>
            <w:pPr>
              <w:pStyle w:val="Compact"/>
              <w:jc w:val="center"/>
            </w:pPr>
            <w:r>
              <w:t xml:space="preserve">BCC</w:t>
            </w:r>
          </w:p>
        </w:tc>
        <w:tc>
          <w:tcPr/>
          <w:p>
            <w:pPr>
              <w:pStyle w:val="Compact"/>
              <w:jc w:val="center"/>
            </w:pPr>
            <w:r>
              <w:rPr>
                <w:bCs/>
                <w:b/>
              </w:rPr>
              <w:t xml:space="preserve">0.744</w:t>
            </w:r>
          </w:p>
        </w:tc>
        <w:tc>
          <w:tcPr/>
          <w:p>
            <w:pPr>
              <w:pStyle w:val="Compact"/>
              <w:jc w:val="center"/>
            </w:pPr>
            <m:oMath>
              <m:r>
                <m:rPr>
                  <m:sty m:val="p"/>
                </m:rPr>
                <m:t>−</m:t>
              </m:r>
              <m:r>
                <m:t>0.249</m:t>
              </m:r>
            </m:oMath>
          </w:p>
        </w:tc>
        <w:tc>
          <w:tcPr/>
          <w:p>
            <w:pPr>
              <w:pStyle w:val="Compact"/>
              <w:jc w:val="center"/>
            </w:pPr>
            <m:oMath>
              <m:d>
                <m:dPr>
                  <m:begChr m:val="["/>
                  <m:endChr m:val="]"/>
                  <m:sepChr m:val=""/>
                  <m:grow/>
                </m:dPr>
                <m:e>
                  <m:r>
                    <m:rPr>
                      <m:sty m:val="p"/>
                    </m:rPr>
                    <m:t>−</m:t>
                  </m:r>
                  <m:r>
                    <m:t>0.877</m:t>
                  </m:r>
                  <m:r>
                    <m:rPr>
                      <m:sty m:val="p"/>
                    </m:rPr>
                    <m:t>,</m:t>
                  </m:r>
                  <m:r>
                    <m:t> </m:t>
                  </m:r>
                  <m:r>
                    <m:t>0.986</m:t>
                  </m:r>
                </m:e>
              </m:d>
            </m:oMath>
          </w:p>
        </w:tc>
      </w:tr>
      <w:tr>
        <w:tc>
          <w:tcPr/>
          <w:p>
            <w:pPr>
              <w:pStyle w:val="Compact"/>
              <w:jc w:val="left"/>
            </w:pPr>
            <w:r>
              <w:t xml:space="preserve">Ni</w:t>
            </w:r>
          </w:p>
        </w:tc>
        <w:tc>
          <w:tcPr/>
          <w:p>
            <w:pPr>
              <w:pStyle w:val="Compact"/>
              <w:jc w:val="center"/>
            </w:pPr>
            <w:r>
              <w:t xml:space="preserve">FCC</w:t>
            </w:r>
          </w:p>
        </w:tc>
        <w:tc>
          <w:tcPr/>
          <w:p>
            <w:pPr>
              <w:pStyle w:val="Compact"/>
              <w:jc w:val="center"/>
            </w:pPr>
            <w:r>
              <w:rPr>
                <w:bCs/>
                <w:b/>
              </w:rPr>
              <w:t xml:space="preserve">0.689</w:t>
            </w:r>
          </w:p>
        </w:tc>
        <w:tc>
          <w:tcPr/>
          <w:p>
            <w:pPr>
              <w:pStyle w:val="Compact"/>
              <w:jc w:val="center"/>
            </w:pPr>
            <w:r>
              <w:t xml:space="preserve">0.377</w:t>
            </w:r>
          </w:p>
        </w:tc>
        <w:tc>
          <w:tcPr/>
          <w:p>
            <w:pPr>
              <w:pStyle w:val="Compact"/>
              <w:jc w:val="center"/>
            </w:pPr>
            <m:oMath>
              <m:d>
                <m:dPr>
                  <m:begChr m:val="["/>
                  <m:endChr m:val="]"/>
                  <m:sepChr m:val=""/>
                  <m:grow/>
                </m:dPr>
                <m:e>
                  <m:r>
                    <m:t>0.189</m:t>
                  </m:r>
                  <m:r>
                    <m:rPr>
                      <m:sty m:val="p"/>
                    </m:rPr>
                    <m:t>,</m:t>
                  </m:r>
                  <m:r>
                    <m:t> </m:t>
                  </m:r>
                  <m:r>
                    <m:t>0.578</m:t>
                  </m:r>
                </m:e>
              </m:d>
            </m:oMath>
          </w:p>
        </w:tc>
      </w:tr>
      <w:tr>
        <w:tc>
          <w:tcPr/>
          <w:p>
            <w:pPr>
              <w:pStyle w:val="Compact"/>
              <w:jc w:val="left"/>
            </w:pPr>
            <w:r>
              <w:t xml:space="preserve">Fe</w:t>
            </w:r>
          </w:p>
        </w:tc>
        <w:tc>
          <w:tcPr/>
          <w:p>
            <w:pPr>
              <w:pStyle w:val="Compact"/>
              <w:jc w:val="center"/>
            </w:pPr>
            <w:r>
              <w:t xml:space="preserve">BCC</w:t>
            </w:r>
          </w:p>
        </w:tc>
        <w:tc>
          <w:tcPr/>
          <w:p>
            <w:pPr>
              <w:pStyle w:val="Compact"/>
              <w:jc w:val="center"/>
            </w:pPr>
            <w:r>
              <w:t xml:space="preserve">0.618</w:t>
            </w:r>
          </w:p>
        </w:tc>
        <w:tc>
          <w:tcPr/>
          <w:p>
            <w:pPr>
              <w:pStyle w:val="Compact"/>
              <w:jc w:val="center"/>
            </w:pPr>
            <w:r>
              <w:rPr>
                <w:bCs/>
                <w:b/>
              </w:rPr>
              <w:t xml:space="preserve">0.747</w:t>
            </w:r>
          </w:p>
        </w:tc>
        <w:tc>
          <w:tcPr/>
          <w:p>
            <w:pPr>
              <w:pStyle w:val="Compact"/>
              <w:jc w:val="center"/>
            </w:pPr>
            <m:oMath>
              <m:d>
                <m:dPr>
                  <m:begChr m:val="["/>
                  <m:endChr m:val="]"/>
                  <m:sepChr m:val=""/>
                  <m:grow/>
                </m:dPr>
                <m:e>
                  <m:r>
                    <m:t>0.527</m:t>
                  </m:r>
                  <m:r>
                    <m:rPr>
                      <m:sty m:val="p"/>
                    </m:rPr>
                    <m:t>,</m:t>
                  </m:r>
                  <m:r>
                    <m:t> </m:t>
                  </m:r>
                  <m:r>
                    <m:t>0.910</m:t>
                  </m:r>
                </m:e>
              </m:d>
            </m:oMath>
          </w:p>
        </w:tc>
      </w:tr>
      <w:tr>
        <w:tc>
          <w:tcPr/>
          <w:p>
            <w:pPr>
              <w:pStyle w:val="Compact"/>
              <w:jc w:val="left"/>
            </w:pPr>
            <w:r>
              <w:t xml:space="preserve">W</w:t>
            </w:r>
          </w:p>
        </w:tc>
        <w:tc>
          <w:tcPr/>
          <w:p>
            <w:pPr>
              <w:pStyle w:val="Compact"/>
              <w:jc w:val="center"/>
            </w:pPr>
            <w:r>
              <w:t xml:space="preserve">BCC</w:t>
            </w:r>
          </w:p>
        </w:tc>
        <w:tc>
          <w:tcPr/>
          <w:p>
            <w:pPr>
              <w:pStyle w:val="Compact"/>
              <w:jc w:val="center"/>
            </w:pPr>
            <w:r>
              <w:t xml:space="preserve">0.587</w:t>
            </w:r>
          </w:p>
        </w:tc>
        <w:tc>
          <w:tcPr/>
          <w:p>
            <w:pPr>
              <w:pStyle w:val="Compact"/>
              <w:jc w:val="center"/>
            </w:pPr>
            <w:r>
              <w:rPr>
                <w:bCs/>
                <w:b/>
              </w:rPr>
              <w:t xml:space="preserve">0.607</w:t>
            </w:r>
          </w:p>
        </w:tc>
        <w:tc>
          <w:tcPr/>
          <w:p>
            <w:pPr>
              <w:pStyle w:val="Compact"/>
              <w:jc w:val="center"/>
            </w:pPr>
            <m:oMath>
              <m:d>
                <m:dPr>
                  <m:begChr m:val="["/>
                  <m:endChr m:val="]"/>
                  <m:sepChr m:val=""/>
                  <m:grow/>
                </m:dPr>
                <m:e>
                  <m:r>
                    <m:t>0.167</m:t>
                  </m:r>
                  <m:r>
                    <m:rPr>
                      <m:sty m:val="p"/>
                    </m:rPr>
                    <m:t>,</m:t>
                  </m:r>
                  <m:r>
                    <m:t> </m:t>
                  </m:r>
                  <m:r>
                    <m:t>0.946</m:t>
                  </m:r>
                </m:e>
              </m:d>
            </m:oMath>
          </w:p>
        </w:tc>
      </w:tr>
      <w:tr>
        <w:tc>
          <w:tcPr/>
          <w:p>
            <w:pPr>
              <w:pStyle w:val="Compact"/>
              <w:jc w:val="left"/>
            </w:pPr>
            <w:r>
              <w:t xml:space="preserve">Al</w:t>
            </w:r>
          </w:p>
        </w:tc>
        <w:tc>
          <w:tcPr/>
          <w:p>
            <w:pPr>
              <w:pStyle w:val="Compact"/>
              <w:jc w:val="center"/>
            </w:pPr>
            <w:r>
              <w:t xml:space="preserve">FCC</w:t>
            </w:r>
          </w:p>
        </w:tc>
        <w:tc>
          <w:tcPr/>
          <w:p>
            <w:pPr>
              <w:pStyle w:val="Compact"/>
              <w:jc w:val="center"/>
            </w:pPr>
            <w:r>
              <w:t xml:space="preserve">0.454</w:t>
            </w:r>
          </w:p>
        </w:tc>
        <w:tc>
          <w:tcPr/>
          <w:p>
            <w:pPr>
              <w:pStyle w:val="Compact"/>
              <w:jc w:val="center"/>
            </w:pPr>
            <w:r>
              <w:rPr>
                <w:bCs/>
                <w:b/>
              </w:rPr>
              <w:t xml:space="preserve">0.805</w:t>
            </w:r>
          </w:p>
        </w:tc>
        <w:tc>
          <w:tcPr/>
          <w:p>
            <w:pPr>
              <w:pStyle w:val="Compact"/>
              <w:jc w:val="center"/>
            </w:pPr>
            <m:oMath>
              <m:d>
                <m:dPr>
                  <m:begChr m:val="["/>
                  <m:endChr m:val="]"/>
                  <m:sepChr m:val=""/>
                  <m:grow/>
                </m:dPr>
                <m:e>
                  <m:r>
                    <m:t>0.653</m:t>
                  </m:r>
                  <m:r>
                    <m:rPr>
                      <m:sty m:val="p"/>
                    </m:rPr>
                    <m:t>,</m:t>
                  </m:r>
                  <m:r>
                    <m:t> </m:t>
                  </m:r>
                  <m:r>
                    <m:t>0.975</m:t>
                  </m:r>
                </m:e>
              </m:d>
            </m:oMath>
          </w:p>
        </w:tc>
      </w:tr>
      <w:tr>
        <w:tc>
          <w:tcPr/>
          <w:p>
            <w:pPr>
              <w:pStyle w:val="Compact"/>
              <w:jc w:val="left"/>
            </w:pPr>
            <w:r>
              <w:t xml:space="preserve">Pd</w:t>
            </w:r>
          </w:p>
        </w:tc>
        <w:tc>
          <w:tcPr/>
          <w:p>
            <w:pPr>
              <w:pStyle w:val="Compact"/>
              <w:jc w:val="center"/>
            </w:pPr>
            <w:r>
              <w:t xml:space="preserve">FCC</w:t>
            </w:r>
          </w:p>
        </w:tc>
        <w:tc>
          <w:tcPr/>
          <w:p>
            <w:pPr>
              <w:pStyle w:val="Compact"/>
              <w:jc w:val="center"/>
            </w:pPr>
            <w:r>
              <w:t xml:space="preserve">0.184</w:t>
            </w:r>
          </w:p>
        </w:tc>
        <w:tc>
          <w:tcPr/>
          <w:p>
            <w:pPr>
              <w:pStyle w:val="Compact"/>
              <w:jc w:val="center"/>
            </w:pPr>
            <w:r>
              <w:rPr>
                <w:bCs/>
                <w:b/>
              </w:rPr>
              <w:t xml:space="preserve">0.748</w:t>
            </w:r>
          </w:p>
        </w:tc>
        <w:tc>
          <w:tcPr/>
          <w:p>
            <w:pPr>
              <w:pStyle w:val="Compact"/>
              <w:jc w:val="center"/>
            </w:pPr>
            <m:oMath>
              <m:d>
                <m:dPr>
                  <m:begChr m:val="["/>
                  <m:endChr m:val="]"/>
                  <m:sepChr m:val=""/>
                  <m:grow/>
                </m:dPr>
                <m:e>
                  <m:r>
                    <m:t>0.540</m:t>
                  </m:r>
                  <m:r>
                    <m:rPr>
                      <m:sty m:val="p"/>
                    </m:rPr>
                    <m:t>,</m:t>
                  </m:r>
                  <m:r>
                    <m:t> </m:t>
                  </m:r>
                  <m:r>
                    <m:t>0.920</m:t>
                  </m:r>
                </m:e>
              </m:d>
            </m:oMath>
          </w:p>
        </w:tc>
      </w:tr>
    </w:tbl>
    <w:bookmarkEnd w:id="36"/>
    <w:p>
      <w:pPr>
        <w:pStyle w:val="BodyText"/>
      </w:pPr>
      <w:r>
        <w:t xml:space="preserve">Crucially, the classical cross-style alignment pattern does not transfer to foundation MLIPs. The Spearman rank correlation between the classical mean cosine and the MLIP mean cosine across all 15 elements is</w:t>
      </w:r>
      <w:r>
        <w:t xml:space="preserve"> </w:t>
      </w:r>
      <m:oMath>
        <m:r>
          <m:t>ρ</m:t>
        </m:r>
        <m:r>
          <m:rPr>
            <m:sty m:val="p"/>
          </m:rPr>
          <m:t>=</m:t>
        </m:r>
        <m:r>
          <m:t>0.186</m:t>
        </m:r>
      </m:oMath>
      <w:r>
        <w:t xml:space="preserve"> </w:t>
      </w:r>
      <w:r>
        <w:t xml:space="preserve">(</w:t>
      </w:r>
      <m:oMath>
        <m:r>
          <m:t>p</m:t>
        </m:r>
        <m:r>
          <m:rPr>
            <m:sty m:val="p"/>
          </m:rPr>
          <m:t>=</m:t>
        </m:r>
        <m:r>
          <m:t>0.508</m:t>
        </m:r>
      </m:oMath>
      <w:r>
        <w:t xml:space="preserve">), indicating no statistically significant relationship between the two paradigms. This decoupling is further illustrated by the group-level analysis: elements classified as</w:t>
      </w:r>
      <w:r>
        <w:t xml:space="preserve"> </w:t>
      </w:r>
      <w:r>
        <w:t xml:space="preserve">“</w:t>
      </w:r>
      <w:r>
        <w:t xml:space="preserve">strong alignment</w:t>
      </w:r>
      <w:r>
        <w:t xml:space="preserve">”</w:t>
      </w:r>
      <w:r>
        <w:t xml:space="preserve"> </w:t>
      </w:r>
      <w:r>
        <w:t xml:space="preserve">under the classical regime (Ta, Nb, Au, Ag, Cr, Pb, Pt) exhibit a mean MLIP cosine of</w:t>
      </w:r>
      <w:r>
        <w:t xml:space="preserve"> </w:t>
      </w:r>
      <m:oMath>
        <m:r>
          <m:t>0.603</m:t>
        </m:r>
      </m:oMath>
      <w:r>
        <w:t xml:space="preserve">, while elements classified as</w:t>
      </w:r>
      <w:r>
        <w:t xml:space="preserve"> </w:t>
      </w:r>
      <w:r>
        <w:t xml:space="preserve">“</w:t>
      </w:r>
      <w:r>
        <w:t xml:space="preserve">weak alignment</w:t>
      </w:r>
      <w:r>
        <w:t xml:space="preserve">”</w:t>
      </w:r>
      <w:r>
        <w:t xml:space="preserve"> </w:t>
      </w:r>
      <w:r>
        <w:t xml:space="preserve">(Pd, Al, W, Fe) show a virtually identical mean of</w:t>
      </w:r>
      <w:r>
        <w:t xml:space="preserve"> </w:t>
      </w:r>
      <m:oMath>
        <m:r>
          <m:t>0.607</m:t>
        </m:r>
      </m:oMath>
      <w:r>
        <w:t xml:space="preserve">. The classical grouping thus possesses zero predictive power for MLIP behavior. Paradigm-specific factors—the functional form of classical potentials versus the neural network architecture and training data of foundation MLIPs—overwhelm any element-specific determinism in the error geometry.</w:t>
      </w:r>
    </w:p>
    <w:p>
      <w:pPr>
        <w:pStyle w:val="BodyText"/>
      </w:pPr>
      <w:r>
        <w:t xml:space="preserve">Iron persists as a notable outlier across both paradigms. Under classical potentials, Fe displays relatively weak cross-style alignment (</w:t>
      </w:r>
      <m:oMath>
        <m:r>
          <m:t>0.618</m:t>
        </m:r>
      </m:oMath>
      <w:r>
        <w:t xml:space="preserve">), and under foundation MLIPs it shows the highest internal variability among the BCC metals (cosine range</w:t>
      </w:r>
      <w:r>
        <w:t xml:space="preserve"> </w:t>
      </w:r>
      <m:oMath>
        <m:d>
          <m:dPr>
            <m:begChr m:val="["/>
            <m:endChr m:val="]"/>
            <m:sepChr m:val=""/>
            <m:grow/>
          </m:dPr>
          <m:e>
            <m:r>
              <m:t>0.527</m:t>
            </m:r>
            <m:r>
              <m:rPr>
                <m:sty m:val="p"/>
              </m:rPr>
              <m:t>,</m:t>
            </m:r>
            <m:r>
              <m:t> </m:t>
            </m:r>
            <m:r>
              <m:t>0.910</m:t>
            </m:r>
          </m:e>
        </m:d>
      </m:oMath>
      <w:r>
        <w:t xml:space="preserve">). This cross-paradigm consistency suggests that the source of Fe’s anomalous behavior lies in the material itself—likely its complex magnetic ground state and the sensitivity of elastic properties to spin ordering—rather than in any particular modeling framework.</w:t>
      </w:r>
    </w:p>
    <w:p>
      <w:pPr>
        <w:pStyle w:val="BodyText"/>
      </w:pPr>
      <w:r>
        <w:t xml:space="preserve">Despite the lack of correlation between paradigms at the element level, the hyper-ribbon structure itself proves to be paradigm-independent. As illustrated in Fig. </w:t>
      </w:r>
      <w:hyperlink w:anchor="fig:dimensionality">
        <w:r>
          <w:rPr>
            <w:rStyle w:val="Hyperlink"/>
          </w:rPr>
          <w:t xml:space="preserve">2</w:t>
        </w:r>
      </w:hyperlink>
      <w:r>
        <w:t xml:space="preserve">, the MLIP error vectors for each element collectively span low-dimensional manifolds with effective participation ratios comparable to those of classical potentials (</w:t>
      </w:r>
      <m:oMath>
        <m:r>
          <m:rPr>
            <m:nor/>
            <m:sty m:val="p"/>
          </m:rPr>
          <m:t>PR</m:t>
        </m:r>
        <m:r>
          <m:rPr>
            <m:sty m:val="p"/>
          </m:rPr>
          <m:t>=</m:t>
        </m:r>
        <m:r>
          <m:t>1.05</m:t>
        </m:r>
      </m:oMath>
      <w:r>
        <w:t xml:space="preserve">–</w:t>
      </w:r>
      <m:oMath>
        <m:r>
          <m:t>1.86</m:t>
        </m:r>
      </m:oMath>
      <w:r>
        <w:t xml:space="preserve"> </w:t>
      </w:r>
      <w:r>
        <w:t xml:space="preserve">out of 3). Whether the model is a classical embedded atom method (EAM) potential or a foundation neural network, the prediction errors in elastic constant space are not isotropically distributed but instead concentrate along structured, low-dimensional directions. This universality implies that the hyper-ribbon geometry reflects fundamental constraints imposed by the target property space and the crystalline reference state, rather than artifacts of any particular functional form. The finding carries practical significance: foundation MLIPs, despite their superior absolute accuracy, remain subject to the same geometric error structure that governs classical potentials, and any ensemble or calibration strategy designed to exploit this structure may transfer across modeling paradigms.</w:t>
      </w:r>
    </w:p>
    <w:bookmarkEnd w:id="37"/>
    <w:bookmarkStart w:id="38" w:name="temporal-evolution-of-the-hyper-ribbon"/>
    <w:p>
      <w:pPr>
        <w:pStyle w:val="Heading2"/>
      </w:pPr>
      <w:r>
        <w:t xml:space="preserve">Temporal evolution of the hyper-ribbon</w:t>
      </w:r>
    </w:p>
    <w:p>
      <w:pPr>
        <w:pStyle w:val="FirstParagraph"/>
      </w:pPr>
      <w:r>
        <w:t xml:space="preserve">To investigate whether the error manifold dimensionality has evolved alongside advancements in potential development (from basic pairwise to complex MLIPs), we stratified the 559 potentials by publication year (Fig. </w:t>
      </w:r>
      <w:hyperlink w:anchor="fig:temporal">
        <w:r>
          <w:rPr>
            <w:rStyle w:val="Hyperlink"/>
          </w:rPr>
          <w:t xml:space="preserve">[fig:temporal]</w:t>
        </w:r>
      </w:hyperlink>
      <w:r>
        <w:t xml:space="preserve">). Over the past 40 years, while the raw accuracy of potentials has generally improved, the</w:t>
      </w:r>
      <w:r>
        <w:t xml:space="preserve"> </w:t>
      </w:r>
      <w:r>
        <w:rPr>
          <w:iCs/>
          <w:i/>
        </w:rPr>
        <w:t xml:space="preserve">effective dimensionality</w:t>
      </w:r>
      <w:r>
        <w:t xml:space="preserve"> </w:t>
      </w:r>
      <w:r>
        <w:t xml:space="preserve">of their prediction errors has remained rigidly bounded between</w:t>
      </w:r>
      <w:r>
        <w:t xml:space="preserve"> </w:t>
      </w:r>
      <m:oMath>
        <m:r>
          <m:t>1.0</m:t>
        </m:r>
      </m:oMath>
      <w:r>
        <w:t xml:space="preserve"> </w:t>
      </w:r>
      <w:r>
        <w:t xml:space="preserve">and</w:t>
      </w:r>
      <w:r>
        <w:t xml:space="preserve"> </w:t>
      </w:r>
      <m:oMath>
        <m:r>
          <m:t>1.9</m:t>
        </m:r>
      </m:oMath>
      <w:r>
        <w:t xml:space="preserve">, showing no statistically significant upward trend.</w:t>
      </w:r>
    </w:p>
    <w:p>
      <w:pPr>
        <w:pStyle w:val="BodyText"/>
      </w:pPr>
      <w:r>
        <w:t xml:space="preserve">Similarly, the log-eigenvalue linearity (</w:t>
      </w:r>
      <m:oMath>
        <m:sSup>
          <m:e>
            <m:r>
              <m:t>R</m:t>
            </m:r>
          </m:e>
          <m:sup>
            <m:r>
              <m:t>2</m:t>
            </m:r>
          </m:sup>
        </m:sSup>
      </m:oMath>
      <w:r>
        <w:t xml:space="preserve">), which is the mathematical hallmark of the Vandermonde universality class, remains consistently high (</w:t>
      </w:r>
      <m:oMath>
        <m:r>
          <m:rPr>
            <m:sty m:val="p"/>
          </m:rPr>
          <m:t>&gt;</m:t>
        </m:r>
        <m:r>
          <m:t>0.80</m:t>
        </m:r>
      </m:oMath>
      <w:r>
        <w:t xml:space="preserve">) across all decades. This indicates that the low-dimensional "sloppy" structure of prediction errors is an invariant property of the target observable landscape, not an artifact of early, simplistic functional forms.</w:t>
      </w:r>
    </w:p>
    <w:p>
      <w:pPr>
        <w:pStyle w:val="BodyText"/>
      </w:pPr>
      <w:r>
        <w:t xml:space="preserve">image</w:t>
      </w:r>
      <w:r>
        <w:t xml:space="preserve"> </w:t>
      </w:r>
      <w:r>
        <w:t xml:space="preserve">image</w:t>
      </w:r>
    </w:p>
    <w:bookmarkEnd w:id="38"/>
    <w:bookmarkStart w:id="39" w:name="expansion-to-5d-observables"/>
    <w:p>
      <w:pPr>
        <w:pStyle w:val="Heading2"/>
      </w:pPr>
      <w:r>
        <w:t xml:space="preserve">Expansion to 5D Observables</w:t>
      </w:r>
    </w:p>
    <w:p>
      <w:pPr>
        <w:pStyle w:val="FirstParagraph"/>
      </w:pPr>
      <w:r>
        <w:t xml:space="preserve">To test the robustness of the hyper-ribbon compression, we expanded the observation space from 3 dimensions (</w:t>
      </w:r>
      <m:oMath>
        <m:sSub>
          <m:e>
            <m:r>
              <m:t>C</m:t>
            </m:r>
          </m:e>
          <m:sub>
            <m:r>
              <m:t>11</m:t>
            </m:r>
          </m:sub>
        </m:sSub>
        <m:r>
          <m:rPr>
            <m:sty m:val="p"/>
          </m:rPr>
          <m:t>,</m:t>
        </m:r>
        <m:sSub>
          <m:e>
            <m:r>
              <m:t>C</m:t>
            </m:r>
          </m:e>
          <m:sub>
            <m:r>
              <m:t>12</m:t>
            </m:r>
          </m:sub>
        </m:sSub>
        <m:r>
          <m:rPr>
            <m:sty m:val="p"/>
          </m:rPr>
          <m:t>,</m:t>
        </m:r>
        <m:sSub>
          <m:e>
            <m:r>
              <m:t>C</m:t>
            </m:r>
          </m:e>
          <m:sub>
            <m:r>
              <m:t>44</m:t>
            </m:r>
          </m:sub>
        </m:sSub>
      </m:oMath>
      <w:r>
        <w:t xml:space="preserve">) to 5 dimensions by incorporating lattice constant (</w:t>
      </w:r>
      <m:oMath>
        <m:r>
          <m:t>a</m:t>
        </m:r>
      </m:oMath>
      <w:r>
        <w:t xml:space="preserve">) and cohesive energy (</w:t>
      </w:r>
      <m:oMath>
        <m:sSub>
          <m:e>
            <m:r>
              <m:t>E</m:t>
            </m:r>
          </m:e>
          <m:sub>
            <m:r>
              <m:t>c</m:t>
            </m:r>
            <m:r>
              <m:t>o</m:t>
            </m:r>
            <m:r>
              <m:t>h</m:t>
            </m:r>
          </m:sub>
        </m:sSub>
      </m:oMath>
      <w:r>
        <w:t xml:space="preserve">). In sloppy model theory, adding highly constrained ("stiff") observables generally introduces new large eigenvalues but preserves the underlying low-dimensional compression of the remaining degrees of freedom.</w:t>
      </w:r>
    </w:p>
    <w:p>
      <w:pPr>
        <w:pStyle w:val="BodyText"/>
      </w:pPr>
      <w:r>
        <w:t xml:space="preserve">As shown in Fig. </w:t>
      </w:r>
      <w:hyperlink w:anchor="fig:observables5d">
        <w:r>
          <w:rPr>
            <w:rStyle w:val="Hyperlink"/>
          </w:rPr>
          <w:t xml:space="preserve">4</w:t>
        </w:r>
      </w:hyperlink>
      <w:r>
        <w:t xml:space="preserve">, while the absolute number of observables increased by 66%, the median effective dimensionality (Participation Ratio) remained almost entirely stable. This confirms that the prediction error manifold is fundamentally compressed, regardless of the number of target observables included in the benchmark.</w:t>
      </w:r>
    </w:p>
    <w:p>
      <w:pPr>
        <w:pStyle w:val="BodyText"/>
      </w:pPr>
      <w:r>
        <w:t xml:space="preserve">Hyper-ribbon dimensionality distribution comparing the standard 3D elastic space to an expanded 5D space incorporating lattice constant and cohesive energy. The median effective dimensionality remains highly compressed.</w:t>
      </w:r>
    </w:p>
    <w:bookmarkEnd w:id="39"/>
    <w:bookmarkEnd w:id="40"/>
    <w:bookmarkStart w:id="42" w:name="discussion"/>
    <w:p>
      <w:pPr>
        <w:pStyle w:val="Heading1"/>
      </w:pPr>
      <w:r>
        <w:t xml:space="preserve">Discussion</w:t>
      </w:r>
    </w:p>
    <w:p>
      <w:pPr>
        <w:pStyle w:val="FirstParagraph"/>
      </w:pPr>
      <w:r>
        <w:t xml:space="preserve">Our results establish four principal claims about interatomic potential prediction errors, validated against the largest systematic elastic constant benchmark to date (</w:t>
      </w:r>
      <m:oMath>
        <m:r>
          <m:t>N</m:t>
        </m:r>
        <m:r>
          <m:rPr>
            <m:sty m:val="p"/>
          </m:rPr>
          <m:t>=</m:t>
        </m:r>
        <m:r>
          <m:t>559</m:t>
        </m:r>
      </m:oMath>
      <w:r>
        <w:t xml:space="preserve"> </w:t>
      </w:r>
      <w:r>
        <w:t xml:space="preserve">potentials, 15 elements, 1,677 data points).</w:t>
      </w:r>
    </w:p>
    <w:p>
      <w:pPr>
        <w:pStyle w:val="BodyText"/>
      </w:pPr>
      <w:r>
        <w:rPr>
          <w:bCs/>
          <w:b/>
        </w:rPr>
        <w:t xml:space="preserve">First, errors are universally structured, not noise.</w:t>
      </w:r>
      <w:r>
        <w:t xml:space="preserve"> </w:t>
      </w:r>
      <w:r>
        <w:t xml:space="preserve">Across all 559 potentials—spanning EAM, MEAM, ADP, Tersoff, BOP, and hybrid forms—elastic constant errors occupy hyper-ribbon manifolds with effective dimensionality</w:t>
      </w:r>
      <w:r>
        <w:t xml:space="preserve"> </w:t>
      </w:r>
      <m:oMath>
        <m:r>
          <m:t>1.05</m:t>
        </m:r>
      </m:oMath>
      <w:r>
        <w:t xml:space="preserve">–</w:t>
      </w:r>
      <m:oMath>
        <m:r>
          <m:t>1.86</m:t>
        </m:r>
      </m:oMath>
      <w:r>
        <w:t xml:space="preserve"> </w:t>
      </w:r>
      <w:r>
        <w:t xml:space="preserve">out of</w:t>
      </w:r>
      <w:r>
        <w:t xml:space="preserve"> </w:t>
      </w:r>
      <m:oMath>
        <m:r>
          <m:t>3</m:t>
        </m:r>
      </m:oMath>
      <w:r>
        <w:t xml:space="preserve">. No potential approaches the full 3D error space. This is the signature of sloppy model universality: many parameter combinations are unobservable, and only a few stiff directions control predictions</w:t>
      </w:r>
      <w:r>
        <w:t xml:space="preserve">. The universality of this compression across fundamentally different functional forms (pairwise, embedded-atom, angular-dependent) suggests it is a property of the observable space, not the model architecture.</w:t>
      </w:r>
    </w:p>
    <w:p>
      <w:pPr>
        <w:pStyle w:val="BodyText"/>
      </w:pPr>
      <w:r>
        <w:rPr>
          <w:bCs/>
          <w:b/>
        </w:rPr>
        <w:t xml:space="preserve">Second, crystal structure governs error correlation geometry.</w:t>
      </w:r>
      <w:r>
        <w:t xml:space="preserve"> </w:t>
      </w:r>
      <w:r>
        <w:t xml:space="preserve">The BCC/FCC dichotomy is the most striking empirical finding: all 7 BCC metals show</w:t>
      </w:r>
      <w:r>
        <w:t xml:space="preserve"> </w:t>
      </w:r>
      <m:oMath>
        <m:r>
          <m:t>r</m:t>
        </m:r>
        <m:r>
          <m:rPr>
            <m:sty m:val="p"/>
          </m:rPr>
          <m:t>&gt;</m:t>
        </m:r>
        <m:r>
          <m:t>0.70</m:t>
        </m:r>
      </m:oMath>
      <w:r>
        <w:t xml:space="preserve"> </w:t>
      </w:r>
      <w:r>
        <w:t xml:space="preserve">while 7 of 8 FCC metals show</w:t>
      </w:r>
      <w:r>
        <w:t xml:space="preserve"> </w:t>
      </w:r>
      <m:oMath>
        <m:r>
          <m:t>r</m:t>
        </m:r>
        <m:r>
          <m:rPr>
            <m:sty m:val="p"/>
          </m:rPr>
          <m:t>&lt;</m:t>
        </m:r>
        <m:r>
          <m:t>0.40</m:t>
        </m:r>
      </m:oMath>
      <w:r>
        <w:t xml:space="preserve">. This implies that BCC elastic response—dominated by directional</w:t>
      </w:r>
      <w:r>
        <w:t xml:space="preserve"> </w:t>
      </w:r>
      <m:oMath>
        <m:r>
          <m:t>d</m:t>
        </m:r>
      </m:oMath>
      <w:r>
        <w:t xml:space="preserve">-orbital bonding and a simpler Cauchy pressure relationship (</w:t>
      </w:r>
      <m:oMath>
        <m:sSub>
          <m:e>
            <m:r>
              <m:t>C</m:t>
            </m:r>
          </m:e>
          <m:sub>
            <m:r>
              <m:t>12</m:t>
            </m:r>
          </m:sub>
        </m:sSub>
        <m:r>
          <m:rPr>
            <m:sty m:val="p"/>
          </m:rPr>
          <m:t>≈</m:t>
        </m:r>
        <m:sSub>
          <m:e>
            <m:r>
              <m:t>C</m:t>
            </m:r>
          </m:e>
          <m:sub>
            <m:r>
              <m:t>44</m:t>
            </m:r>
          </m:sub>
        </m:sSub>
      </m:oMath>
      <w:r>
        <w:t xml:space="preserve">)—creates a prediction landscape where potentials either get the elastic ratios right or wrong in a correlated manner. FCC metals, with their more isotropic bonding, permit decorrelated errors across</w:t>
      </w:r>
      <w:r>
        <w:t xml:space="preserve"> </w:t>
      </w:r>
      <m:oMath>
        <m:sSub>
          <m:e>
            <m:r>
              <m:t>C</m:t>
            </m:r>
          </m:e>
          <m:sub>
            <m:r>
              <m:t>11</m:t>
            </m:r>
          </m:sub>
        </m:sSub>
      </m:oMath>
      <w:r>
        <w:t xml:space="preserve">,</w:t>
      </w:r>
      <w:r>
        <w:t xml:space="preserve"> </w:t>
      </w:r>
      <m:oMath>
        <m:sSub>
          <m:e>
            <m:r>
              <m:t>C</m:t>
            </m:r>
          </m:e>
          <m:sub>
            <m:r>
              <m:t>12</m:t>
            </m:r>
          </m:sub>
        </m:sSub>
      </m:oMath>
      <w:r>
        <w:t xml:space="preserve">, and</w:t>
      </w:r>
      <w:r>
        <w:t xml:space="preserve"> </w:t>
      </w:r>
      <m:oMath>
        <m:sSub>
          <m:e>
            <m:r>
              <m:t>C</m:t>
            </m:r>
          </m:e>
          <m:sub>
            <m:r>
              <m:t>44</m:t>
            </m:r>
          </m:sub>
        </m:sSub>
      </m:oMath>
      <w:r>
        <w:t xml:space="preserve">. This is a novel form of structural confounding: aggregating across crystal classes produces fundamentally misleading benchmarks.</w:t>
      </w:r>
    </w:p>
    <w:p>
      <w:pPr>
        <w:pStyle w:val="BodyText"/>
      </w:pPr>
      <w:r>
        <w:t xml:space="preserve">The natural mechanistic extension of this finding—that closed-shell d-band fullness might predict tighter cross-style PC1 alignment within elements, just as crystal structure predicts inter-property correlation—fails on the full sample (§</w:t>
      </w:r>
      <w:hyperlink w:anchor="sec:dband">
        <w:r>
          <w:rPr>
            <w:rStyle w:val="Hyperlink"/>
          </w:rPr>
          <w:t xml:space="preserve">4.5</w:t>
        </w:r>
      </w:hyperlink>
      <w:r>
        <w:t xml:space="preserve">;</w:t>
      </w:r>
      <w:r>
        <w:t xml:space="preserve"> </w:t>
      </w:r>
      <m:oMath>
        <m:r>
          <m:t>ρ</m:t>
        </m:r>
        <m:r>
          <m:rPr>
            <m:sty m:val="p"/>
          </m:rPr>
          <m:t>=</m:t>
        </m:r>
        <m:r>
          <m:rPr>
            <m:sty m:val="p"/>
          </m:rPr>
          <m:t>−</m:t>
        </m:r>
        <m:r>
          <m:t>0.018</m:t>
        </m:r>
      </m:oMath>
      <w:r>
        <w:t xml:space="preserve">,</w:t>
      </w:r>
      <w:r>
        <w:t xml:space="preserve"> </w:t>
      </w:r>
      <m:oMath>
        <m:r>
          <m:t>p</m:t>
        </m:r>
        <m:r>
          <m:rPr>
            <m:sty m:val="p"/>
          </m:rPr>
          <m:t>=</m:t>
        </m:r>
        <m:r>
          <m:t>0.95</m:t>
        </m:r>
      </m:oMath>
      <w:r>
        <w:t xml:space="preserve">). The dominant per-element predictor of cross-style alignment is instead the number of pair_style families fitted to each element (</w:t>
      </w:r>
      <m:oMath>
        <m:r>
          <m:t>ρ</m:t>
        </m:r>
        <m:d>
          <m:dPr>
            <m:begChr m:val="("/>
            <m:endChr m:val=")"/>
            <m:sepChr m:val=""/>
            <m:grow/>
          </m:dPr>
          <m:e>
            <m:sSub>
              <m:e>
                <m:r>
                  <m:t>n</m:t>
                </m:r>
              </m:e>
              <m:sub>
                <m:r>
                  <m:rPr>
                    <m:nor/>
                    <m:sty m:val="p"/>
                  </m:rPr>
                  <m:t>pairs</m:t>
                </m:r>
              </m:sub>
            </m:sSub>
            <m:r>
              <m:rPr>
                <m:sty m:val="p"/>
              </m:rPr>
              <m:t>,</m:t>
            </m:r>
            <m:bar>
              <m:barPr>
                <m:pos m:val="top"/>
              </m:barPr>
              <m:e>
                <m:r>
                  <m:rPr>
                    <m:sty m:val="p"/>
                  </m:rPr>
                  <m:t>cos</m:t>
                </m:r>
              </m:e>
            </m:bar>
          </m:e>
        </m:d>
        <m:r>
          <m:rPr>
            <m:sty m:val="p"/>
          </m:rPr>
          <m:t>=</m:t>
        </m:r>
        <m:r>
          <m:rPr>
            <m:sty m:val="p"/>
          </m:rPr>
          <m:t>−</m:t>
        </m:r>
        <m:r>
          <m:t>0.50</m:t>
        </m:r>
      </m:oMath>
      <w:r>
        <w:t xml:space="preserve">,</w:t>
      </w:r>
      <w:r>
        <w:t xml:space="preserve"> </w:t>
      </w:r>
      <m:oMath>
        <m:r>
          <m:t>p</m:t>
        </m:r>
        <m:r>
          <m:rPr>
            <m:sty m:val="p"/>
          </m:rPr>
          <m:t>=</m:t>
        </m:r>
        <m:r>
          <m:t>0.06</m:t>
        </m:r>
      </m:oMath>
      <w:r>
        <w:t xml:space="preserve">), and the apparent d-band signal recovers only on a controlled</w:t>
      </w:r>
      <w:r>
        <w:t xml:space="preserve"> </w:t>
      </w:r>
      <m:oMath>
        <m:sSub>
          <m:e>
            <m:r>
              <m:t>n</m:t>
            </m:r>
          </m:e>
          <m:sub>
            <m:r>
              <m:rPr>
                <m:nor/>
                <m:sty m:val="p"/>
              </m:rPr>
              <m:t>pairs</m:t>
            </m:r>
          </m:sub>
        </m:sSub>
        <m:r>
          <m:rPr>
            <m:sty m:val="p"/>
          </m:rPr>
          <m:t>≥</m:t>
        </m:r>
        <m:r>
          <m:t>3</m:t>
        </m:r>
      </m:oMath>
      <w:r>
        <w:t xml:space="preserve"> </w:t>
      </w:r>
      <w:r>
        <w:t xml:space="preserve">subset (</w:t>
      </w:r>
      <m:oMath>
        <m:r>
          <m:t>ρ</m:t>
        </m:r>
        <m:r>
          <m:rPr>
            <m:sty m:val="p"/>
          </m:rPr>
          <m:t>=</m:t>
        </m:r>
        <m:r>
          <m:rPr>
            <m:sty m:val="p"/>
          </m:rPr>
          <m:t>+</m:t>
        </m:r>
        <m:r>
          <m:t>0.52</m:t>
        </m:r>
      </m:oMath>
      <w:r>
        <w:t xml:space="preserve">,</w:t>
      </w:r>
      <w:r>
        <w:t xml:space="preserve"> </w:t>
      </w:r>
      <m:oMath>
        <m:r>
          <m:t>p</m:t>
        </m:r>
        <m:r>
          <m:rPr>
            <m:sty m:val="p"/>
          </m:rPr>
          <m:t>=</m:t>
        </m:r>
        <m:r>
          <m:t>0.087</m:t>
        </m:r>
      </m:oMath>
      <w:r>
        <w:t xml:space="preserve">). This is a Simpson’s-paradox structure on our own analysis: outlier elements with</w:t>
      </w:r>
      <w:r>
        <w:t xml:space="preserve"> </w:t>
      </w:r>
      <m:oMath>
        <m:sSub>
          <m:e>
            <m:r>
              <m:t>n</m:t>
            </m:r>
          </m:e>
          <m:sub>
            <m:r>
              <m:rPr>
                <m:nor/>
                <m:sty m:val="p"/>
              </m:rPr>
              <m:t>pairs</m:t>
            </m:r>
          </m:sub>
        </m:sSub>
        <m:r>
          <m:rPr>
            <m:sty m:val="p"/>
          </m:rPr>
          <m:t>=</m:t>
        </m:r>
        <m:r>
          <m:t>1</m:t>
        </m:r>
      </m:oMath>
      <w:r>
        <w:t xml:space="preserve"> </w:t>
      </w:r>
      <w:r>
        <w:t xml:space="preserve">act in opposite directions and zero the full-sample correlation. The methodological implication for benchmarking is that fitting depth must be controlled—or down-weighted—before claiming any element-intrinsic property from cross-style PC analysis.</w:t>
      </w:r>
    </w:p>
    <w:p>
      <w:pPr>
        <w:pStyle w:val="BodyText"/>
      </w:pPr>
      <w:r>
        <w:rPr>
          <w:bCs/>
          <w:b/>
        </w:rPr>
        <w:t xml:space="preserve">Third, meta-analysis must use random-effects models.</w:t>
      </w:r>
      <w:r>
        <w:t xml:space="preserve"> </w:t>
      </w:r>
      <w:r>
        <w:t xml:space="preserve">The</w:t>
      </w:r>
      <w:r>
        <w:t xml:space="preserve"> </w:t>
      </w:r>
      <m:oMath>
        <m:sSup>
          <m:e>
            <m:r>
              <m:t>I</m:t>
            </m:r>
          </m:e>
          <m:sup>
            <m:r>
              <m:t>2</m:t>
            </m:r>
          </m:sup>
        </m:sSup>
        <m:r>
          <m:rPr>
            <m:sty m:val="p"/>
          </m:rPr>
          <m:t>=</m:t>
        </m:r>
        <m:r>
          <m:t>98.6</m:t>
        </m:r>
        <m:r>
          <m:rPr>
            <m:sty m:val="p"/>
          </m:rPr>
          <m:t>%</m:t>
        </m:r>
      </m:oMath>
      <w:r>
        <w:t xml:space="preserve"> </w:t>
      </w:r>
      <w:r>
        <w:t xml:space="preserve">indicates that virtually all variance is between-element rather than within-element. The 95% prediction interval from the random-effects model spans</w:t>
      </w:r>
      <w:r>
        <w:t xml:space="preserve"> </w:t>
      </w:r>
      <m:oMath>
        <m:d>
          <m:dPr>
            <m:begChr m:val="["/>
            <m:endChr m:val="]"/>
            <m:sepChr m:val=""/>
            <m:grow/>
          </m:dPr>
          <m:e>
            <m:r>
              <m:rPr>
                <m:sty m:val="p"/>
              </m:rPr>
              <m:t>−</m:t>
            </m:r>
            <m:r>
              <m:t>0.64</m:t>
            </m:r>
            <m:r>
              <m:rPr>
                <m:sty m:val="p"/>
              </m:rPr>
              <m:t>,</m:t>
            </m:r>
            <m:r>
              <m:rPr>
                <m:sty m:val="p"/>
              </m:rPr>
              <m:t>+</m:t>
            </m:r>
            <m:r>
              <m:t>0.99</m:t>
            </m:r>
          </m:e>
        </m:d>
      </m:oMath>
      <w:r>
        <w:t xml:space="preserve">, meaning that a new element could show</w:t>
      </w:r>
      <w:r>
        <w:t xml:space="preserve"> </w:t>
      </w:r>
      <w:r>
        <w:rPr>
          <w:iCs/>
          <w:i/>
        </w:rPr>
        <w:t xml:space="preserve">any</w:t>
      </w:r>
      <w:r>
        <w:t xml:space="preserve"> </w:t>
      </w:r>
      <w:r>
        <w:t xml:space="preserve">correlation behavior. Fixed-effects models, which assume a single true effect, produce misleadingly narrow intervals (</w:t>
      </w:r>
      <m:oMath>
        <m:d>
          <m:dPr>
            <m:begChr m:val="["/>
            <m:endChr m:val="]"/>
            <m:sepChr m:val=""/>
            <m:grow/>
          </m:dPr>
          <m:e>
            <m:r>
              <m:t>0.57</m:t>
            </m:r>
            <m:r>
              <m:rPr>
                <m:sty m:val="p"/>
              </m:rPr>
              <m:t>,</m:t>
            </m:r>
            <m:r>
              <m:t>0.63</m:t>
            </m:r>
          </m:e>
        </m:d>
      </m:oMath>
      <w:r>
        <w:t xml:space="preserve"> </w:t>
      </w:r>
      <w:r>
        <w:t xml:space="preserve">vs. </w:t>
      </w:r>
      <m:oMath>
        <m:d>
          <m:dPr>
            <m:begChr m:val="["/>
            <m:endChr m:val="]"/>
            <m:sepChr m:val=""/>
            <m:grow/>
          </m:dPr>
          <m:e>
            <m:r>
              <m:t>0.41</m:t>
            </m:r>
            <m:r>
              <m:rPr>
                <m:sty m:val="p"/>
              </m:rPr>
              <m:t>,</m:t>
            </m:r>
            <m:r>
              <m:t>0.85</m:t>
            </m:r>
          </m:e>
        </m:d>
      </m:oMath>
      <w:r>
        <w:t xml:space="preserve">).</w:t>
      </w:r>
    </w:p>
    <w:p>
      <w:pPr>
        <w:pStyle w:val="BodyText"/>
      </w:pPr>
      <w:r>
        <w:rPr>
          <w:bCs/>
          <w:b/>
        </w:rPr>
        <w:t xml:space="preserve">Fourth, pair-style families show high internal consistency.</w:t>
      </w:r>
      <w:r>
        <w:t xml:space="preserve"> </w:t>
      </w:r>
      <w:r>
        <w:t xml:space="preserve">When stratified by potential family, within-group correlations average</w:t>
      </w:r>
      <w:r>
        <w:t xml:space="preserve"> </w:t>
      </w:r>
      <m:oMath>
        <m:r>
          <m:t>r</m:t>
        </m:r>
        <m:r>
          <m:rPr>
            <m:sty m:val="p"/>
          </m:rPr>
          <m:t>=</m:t>
        </m:r>
        <m:r>
          <m:t>0.95</m:t>
        </m:r>
      </m:oMath>
      <w:r>
        <w:t xml:space="preserve"> </w:t>
      </w:r>
      <w:r>
        <w:t xml:space="preserve">versus a pooled</w:t>
      </w:r>
      <w:r>
        <w:t xml:space="preserve"> </w:t>
      </w:r>
      <m:oMath>
        <m:r>
          <m:t>r</m:t>
        </m:r>
        <m:r>
          <m:rPr>
            <m:sty m:val="p"/>
          </m:rPr>
          <m:t>=</m:t>
        </m:r>
        <m:r>
          <m:t>0.82</m:t>
        </m:r>
      </m:oMath>
      <w:r>
        <w:t xml:space="preserve">—an ecological fallacy where aggregation obscures accuracy. This has practical implications: benchmarking a MEAM potential against EAM results is statistically inappropriate.</w:t>
      </w:r>
    </w:p>
    <w:p>
      <w:pPr>
        <w:pStyle w:val="BodyText"/>
      </w:pPr>
      <w:r>
        <w:rPr>
          <w:bCs/>
          <w:b/>
        </w:rPr>
        <w:t xml:space="preserve">Limitations.</w:t>
      </w:r>
      <w:r>
        <w:t xml:space="preserve"> </w:t>
      </w:r>
      <w:r>
        <w:t xml:space="preserve">While our dataset of 559 classical potentials is large, the element coverage is restricted to monatomic cubic metals. Extension to alloys, non-cubic structures, and properties beyond elastic constants (phonon spectra, surface energies, defect formation energies) would test the generality of the hyper-ribbon hypothesis. The foundation MLIP extension is based on three pre-trained models (MACE-MP-0, CHGNet, Orb-v3) evaluated without element-specific fine-tuning; a larger and fine-tuned MLIP ensemble would strengthen the cross-paradigm universality claim. Additionally, recent neural network potentials (NNIPs) may exhibit different manifold structure, though Mao et al.</w:t>
      </w:r>
      <w:r>
        <w:t xml:space="preserve"> </w:t>
      </w:r>
      <w:r>
        <w:t xml:space="preserve">have reported similar low-dimensional error compression for deep networks.</w:t>
      </w:r>
    </w:p>
    <w:p>
      <w:pPr>
        <w:pStyle w:val="BodyText"/>
      </w:pPr>
      <w:r>
        <w:rPr>
          <w:bCs/>
          <w:b/>
        </w:rPr>
        <w:t xml:space="preserve">Software and data availability.</w:t>
      </w:r>
      <w:r>
        <w:t xml:space="preserve"> </w:t>
      </w:r>
      <w:r>
        <w:t xml:space="preserve">All benchmark data, analysis code, and figure generation scripts are available at</w:t>
      </w:r>
      <w:r>
        <w:t xml:space="preserve"> </w:t>
      </w:r>
      <w:hyperlink r:id="rId41">
        <w:r>
          <w:rPr>
            <w:rStyle w:val="Hyperlink"/>
          </w:rPr>
          <w:t xml:space="preserve">https://github.com/alexwelcing/lupine</w:t>
        </w:r>
      </w:hyperlink>
      <w:r>
        <w:t xml:space="preserve"> </w:t>
      </w:r>
      <w:r>
        <w:t xml:space="preserve">under the MIT License. The</w:t>
      </w:r>
      <w:r>
        <w:t xml:space="preserve"> </w:t>
      </w:r>
      <w:r>
        <w:rPr>
          <w:rStyle w:val="VerbatimChar"/>
        </w:rPr>
        <w:t xml:space="preserve">atlas-distill</w:t>
      </w:r>
      <w:r>
        <w:t xml:space="preserve"> </w:t>
      </w:r>
      <w:r>
        <w:t xml:space="preserve">engine is a standalone Rust binary. Raw elastic constant predictions are cached from the OpenKIM Query API for full reproducibility.</w:t>
      </w:r>
    </w:p>
    <w:bookmarkEnd w:id="42"/>
    <w:bookmarkStart w:id="44" w:name="data-availability"/>
    <w:p>
      <w:pPr>
        <w:pStyle w:val="Heading1"/>
      </w:pPr>
      <w:r>
        <w:t xml:space="preserve">Data Availability</w:t>
      </w:r>
    </w:p>
    <w:p>
      <w:pPr>
        <w:pStyle w:val="FirstParagraph"/>
      </w:pPr>
      <w:r>
        <w:t xml:space="preserve">All benchmark datasets (1,677 rows across 15 elements), analysis code, and figure generation scripts are available at</w:t>
      </w:r>
      <w:r>
        <w:t xml:space="preserve"> </w:t>
      </w:r>
      <w:hyperlink r:id="rId43">
        <w:r>
          <w:rPr>
            <w:rStyle w:val="Hyperlink"/>
          </w:rPr>
          <w:t xml:space="preserve">https://github.com/alexwelcing/lupine/tree/main/atlas-distill</w:t>
        </w:r>
      </w:hyperlink>
      <w:r>
        <w:t xml:space="preserve"> </w:t>
      </w:r>
      <w:r>
        <w:t xml:space="preserve">under the MIT License. Raw elastic constant predictions are sourced from the OpenKIM Query API</w:t>
      </w:r>
      <w:r>
        <w:t xml:space="preserve"> </w:t>
      </w:r>
      <w:r>
        <w:t xml:space="preserve">with local caching for reproducibility. Reference elastic constant data are sourced from Simmons and Wang</w:t>
      </w:r>
      <w:r>
        <w:t xml:space="preserve">. The NIST Interatomic Potentials Repository master index (675 potentials) is included in the repository. Foundation MLIP benchmark data and distilled analysis-ready datasets are deposited at Zenodo (DOI:</w:t>
      </w:r>
      <w:r>
        <w:t xml:space="preserve"> </w:t>
      </w:r>
      <w:r>
        <w:rPr>
          <w:rStyle w:val="VerbatimChar"/>
        </w:rPr>
        <w:t xml:space="preserve">10.5281/zenodo.XXXXXX</w:t>
      </w:r>
      <w:r>
        <w:t xml:space="preserve">, pending release).</w:t>
      </w:r>
    </w:p>
    <w:bookmarkEnd w:id="44"/>
    <w:bookmarkStart w:id="45" w:name="acknowledgments"/>
    <w:p>
      <w:pPr>
        <w:pStyle w:val="Heading1"/>
      </w:pPr>
      <w:r>
        <w:t xml:space="preserve">Acknowledgments</w:t>
      </w:r>
    </w:p>
    <w:p>
      <w:pPr>
        <w:pStyle w:val="FirstParagraph"/>
      </w:pPr>
      <w:r>
        <w:t xml:space="preserve">This work was supported by Lupine Science. The author thanks the OpenKIM consortium and the LAMMPS developer community for maintaining open infrastructure for interatomic potential benchmarking. The sloppy model theory framework that motivates this work was developed by J. P. Sethna and collaborators at Cornell University.</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github.com/alexwelcing/lupine" TargetMode="External" /><Relationship Type="http://schemas.openxmlformats.org/officeDocument/2006/relationships/hyperlink" Id="rId43" Target="https://github.com/alexwelcing/lupine/tree/main/atlas-distill" TargetMode="External" /></Relationships>
</file>

<file path=word/_rels/footnotes.xml.rels><?xml version="1.0" encoding="UTF-8"?><Relationships xmlns="http://schemas.openxmlformats.org/package/2006/relationships"><Relationship Type="http://schemas.openxmlformats.org/officeDocument/2006/relationships/hyperlink" Id="rId41" Target="https://github.com/alexwelcing/lupine" TargetMode="External" /><Relationship Type="http://schemas.openxmlformats.org/officeDocument/2006/relationships/hyperlink" Id="rId43" Target="https://github.com/alexwelcing/lupine/tree/main/atlas-disti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Causal Geometry of Prediction Errors in Interatomic Potentials: A Hyper-Ribbon Manifold Analysis with Simpson’s Paradox Detection</dc:title>
  <dc:creator>Alex Welcing Lupine Science alex@lupine.io</dc:creator>
  <cp:keywords/>
  <dcterms:created xsi:type="dcterms:W3CDTF">2026-06-04T15:56:34Z</dcterms:created>
  <dcterms:modified xsi:type="dcterms:W3CDTF">2026-06-04T15:56:34Z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Classical force fields for metals exhibit structured, low-dimensional prediction errors that can be understood through the convergence of sloppy model theory, causal inference, and meta-analytic methodology. Methods: We analyzed elastic constant prediction errors (C_{11}, C_{12}, C_{44}) for 15 benchmark metals (8 FCC, 7 BCC) across 559 interatomic potentials spanning 13 pair_style families, using principal component analysis, bootstrap uncertainty quantification, random-effects meta-analysis, and ecological fallacy detection. All predictions were obtained from the OpenKIM repository and cross-referenced against the NIST Interatomic Potentials Repository. Results: Prediction errors universally occupy hyper-ribbon manifolds with effective dimensionality 1.05–1.86 out of 3, consistent with the sloppy model universality class. An empirical extension of the analysis to three foundation machine-learning interatomic potentials (MACE-MP-0, CHGNet, Orb-v3) confirms that 14 of 15 elements retain participation ratio &lt;2.0 when foundation MLIPs are added to the per-element ensembles, with Fe persisting as the lone outlier across all interventions—supporting hyper-ribbon universality across both classical and foundation-MLIP modeling paradigms. A striking crystal-structure dichotomy emerges: all 7 BCC metals show reference–prediction correlations r&gt;0.70 (mean r=0.89), while 7 of 8 FCC metals show r&lt;0.40 (mean r=0.16). Meta-analysis across 15 elements (N=1{,}677) reveals extreme heterogeneity (I^2=98.6\%, \tau=0.80), with a 95% prediction interval spanning [-0.64, +0.99]. A direct test of cross-style PC1 alignment finds that the apparent per-element dichotomy is dominated by a sample-size confounder (Spearman \rho(n_{\text{pairs}}, \overline{\cos}) = -0.50, p = 0.06) rather than d-band fullness, with a residual d-band signal emerging only after fitting depth is controlled (\rho = +0.52, p = 0.087, n=12); this classical-family-specific dichotomy does not transfer across modeling paradigms. Conclusions: Prediction errors are not unstructured noise but occupy strictly bounded, low-dimensional manifolds whose geometry is element- and crystal-structure-dependent. Standard cross-element benchmarking suffers from ecological fallacy; correct analysis requires stratified evaluation and random-effects meta-analysis. All methods are implemented in the open-source atlas-distill engine.</vt:lpwstr>
  </property>
  <property fmtid="{D5CDD505-2E9C-101B-9397-08002B2CF9AE}" pid="3" name="bibliography">
    <vt:lpwstr/>
  </property>
  <property fmtid="{D5CDD505-2E9C-101B-9397-08002B2CF9AE}" pid="4" name="date">
    <vt:lpwstr/>
  </property>
</Properties>
</file>