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ED63" w14:textId="32C8425C" w:rsidR="003E7E10" w:rsidRPr="00887438" w:rsidRDefault="00F240E0" w:rsidP="00F240E0">
      <w:pPr>
        <w:jc w:val="center"/>
        <w:rPr>
          <w:lang w:val="fr-FR"/>
        </w:rPr>
      </w:pPr>
      <w:r w:rsidRPr="00887438">
        <w:rPr>
          <w:lang w:val="fr-FR"/>
        </w:rPr>
        <w:t>Quelle trajectoire pour les finances publiques ?</w:t>
      </w:r>
    </w:p>
    <w:p w14:paraId="041F06D9" w14:textId="77777777" w:rsidR="00F240E0" w:rsidRPr="00887438" w:rsidRDefault="00F240E0" w:rsidP="00F240E0">
      <w:pPr>
        <w:jc w:val="center"/>
        <w:rPr>
          <w:lang w:val="fr-FR"/>
        </w:rPr>
      </w:pPr>
    </w:p>
    <w:p w14:paraId="71510BCB" w14:textId="78064962" w:rsidR="00F240E0" w:rsidRPr="00887438" w:rsidRDefault="00F240E0" w:rsidP="00F240E0">
      <w:pPr>
        <w:jc w:val="center"/>
        <w:rPr>
          <w:lang w:val="fr-FR"/>
        </w:rPr>
      </w:pPr>
      <w:r w:rsidRPr="00887438">
        <w:rPr>
          <w:lang w:val="fr-FR"/>
        </w:rPr>
        <w:t>Note du conseil d’analyse économique, mai 2024</w:t>
      </w:r>
    </w:p>
    <w:p w14:paraId="4EBB909A" w14:textId="77777777" w:rsidR="00F240E0" w:rsidRPr="00887438" w:rsidRDefault="00F240E0" w:rsidP="00F240E0">
      <w:pPr>
        <w:jc w:val="center"/>
        <w:rPr>
          <w:lang w:val="fr-FR"/>
        </w:rPr>
      </w:pPr>
    </w:p>
    <w:p w14:paraId="09FC7709" w14:textId="4A56EC21" w:rsidR="00F240E0" w:rsidRPr="00887438" w:rsidRDefault="00F240E0" w:rsidP="00F240E0">
      <w:pPr>
        <w:jc w:val="center"/>
        <w:rPr>
          <w:lang w:val="fr-FR"/>
        </w:rPr>
      </w:pPr>
      <w:r w:rsidRPr="00887438">
        <w:rPr>
          <w:lang w:val="fr-FR"/>
        </w:rPr>
        <w:t xml:space="preserve">Adrien </w:t>
      </w:r>
      <w:proofErr w:type="spellStart"/>
      <w:r w:rsidRPr="00887438">
        <w:rPr>
          <w:lang w:val="fr-FR"/>
        </w:rPr>
        <w:t>Auclert</w:t>
      </w:r>
      <w:proofErr w:type="spellEnd"/>
      <w:r w:rsidRPr="00887438">
        <w:rPr>
          <w:lang w:val="fr-FR"/>
        </w:rPr>
        <w:t>, Olivier Blanchard, Thomas Philippon, Xavier Ragot</w:t>
      </w:r>
    </w:p>
    <w:p w14:paraId="271BDF59" w14:textId="2E267E83" w:rsidR="00F240E0" w:rsidRPr="00887438" w:rsidRDefault="00F240E0" w:rsidP="00F240E0">
      <w:pPr>
        <w:rPr>
          <w:lang w:val="fr-FR"/>
        </w:rPr>
      </w:pPr>
    </w:p>
    <w:p w14:paraId="61CF57C0" w14:textId="77777777" w:rsidR="00F240E0" w:rsidRPr="00887438" w:rsidRDefault="00F240E0">
      <w:pPr>
        <w:rPr>
          <w:lang w:val="fr-FR"/>
        </w:rPr>
      </w:pPr>
    </w:p>
    <w:p w14:paraId="2863AD50" w14:textId="60A52DEC" w:rsidR="00F240E0" w:rsidRPr="00887438" w:rsidRDefault="00F240E0">
      <w:pPr>
        <w:rPr>
          <w:b/>
          <w:bCs/>
          <w:lang w:val="fr-FR"/>
        </w:rPr>
      </w:pPr>
      <w:r w:rsidRPr="00887438">
        <w:rPr>
          <w:b/>
          <w:bCs/>
          <w:lang w:val="fr-FR"/>
        </w:rPr>
        <w:t>Résumé.</w:t>
      </w:r>
    </w:p>
    <w:p w14:paraId="2FECCC1B" w14:textId="2828702D" w:rsidR="00F240E0" w:rsidRPr="00887438" w:rsidRDefault="00667701">
      <w:pPr>
        <w:rPr>
          <w:lang w:val="fr-FR"/>
        </w:rPr>
      </w:pPr>
      <w:r w:rsidRPr="00887438">
        <w:rPr>
          <w:lang w:val="fr-FR"/>
        </w:rPr>
        <w:t xml:space="preserve">Les finances publiques françaises se sont fortement dégradées </w:t>
      </w:r>
      <w:r w:rsidR="00DF24F8">
        <w:rPr>
          <w:lang w:val="fr-FR"/>
        </w:rPr>
        <w:t xml:space="preserve">ces dernières années, </w:t>
      </w:r>
      <w:r w:rsidRPr="00887438">
        <w:rPr>
          <w:lang w:val="fr-FR"/>
        </w:rPr>
        <w:t xml:space="preserve">à la suite </w:t>
      </w:r>
      <w:r w:rsidR="00DF24F8">
        <w:rPr>
          <w:lang w:val="fr-FR"/>
        </w:rPr>
        <w:t xml:space="preserve">notamment </w:t>
      </w:r>
      <w:r w:rsidRPr="00887438">
        <w:rPr>
          <w:lang w:val="fr-FR"/>
        </w:rPr>
        <w:t>de la crise sanitaire</w:t>
      </w:r>
      <w:r w:rsidR="00DF24F8">
        <w:rPr>
          <w:lang w:val="fr-FR"/>
        </w:rPr>
        <w:t xml:space="preserve"> et des bouclier tarifaires mis en place pour amortir les effets de la hausse des prix de l’énergie</w:t>
      </w:r>
      <w:r w:rsidRPr="00887438">
        <w:rPr>
          <w:lang w:val="fr-FR"/>
        </w:rPr>
        <w:t>. En 2023, la dette publique a atteint 111% du PIB et le déficit public 5.5% de PIB, bien au-delà des engagements européens</w:t>
      </w:r>
      <w:r w:rsidR="00DF24F8">
        <w:rPr>
          <w:lang w:val="fr-FR"/>
        </w:rPr>
        <w:t xml:space="preserve"> de la France</w:t>
      </w:r>
      <w:r w:rsidRPr="00887438">
        <w:rPr>
          <w:lang w:val="fr-FR"/>
        </w:rPr>
        <w:t xml:space="preserve">. </w:t>
      </w:r>
      <w:r w:rsidR="00DF24F8">
        <w:rPr>
          <w:lang w:val="fr-FR"/>
        </w:rPr>
        <w:t xml:space="preserve">Le gouvernement fait désormais face à un double défi. D’une part, pour respecter ces engagements européens et rassurer les marchés financiers, la France doit rapidement réduire son déficit </w:t>
      </w:r>
      <w:r w:rsidR="00B9641E" w:rsidRPr="00887438">
        <w:rPr>
          <w:lang w:val="fr-FR"/>
        </w:rPr>
        <w:t>les années à venir</w:t>
      </w:r>
      <w:r w:rsidR="00DF24F8">
        <w:rPr>
          <w:lang w:val="fr-FR"/>
        </w:rPr>
        <w:t xml:space="preserve">. D’autre part, les vents contraires structurels liés au </w:t>
      </w:r>
      <w:r w:rsidR="00B9641E" w:rsidRPr="00887438">
        <w:rPr>
          <w:lang w:val="fr-FR"/>
        </w:rPr>
        <w:t>vieillissement</w:t>
      </w:r>
      <w:r w:rsidRPr="00887438">
        <w:rPr>
          <w:lang w:val="fr-FR"/>
        </w:rPr>
        <w:t xml:space="preserve"> </w:t>
      </w:r>
      <w:r w:rsidR="00B9641E" w:rsidRPr="00887438">
        <w:rPr>
          <w:lang w:val="fr-FR"/>
        </w:rPr>
        <w:t>démographique</w:t>
      </w:r>
      <w:r w:rsidRPr="00887438">
        <w:rPr>
          <w:lang w:val="fr-FR"/>
        </w:rPr>
        <w:t xml:space="preserve">, </w:t>
      </w:r>
      <w:r w:rsidR="00DF24F8">
        <w:rPr>
          <w:lang w:val="fr-FR"/>
        </w:rPr>
        <w:t xml:space="preserve">à </w:t>
      </w:r>
      <w:r w:rsidR="00B9641E" w:rsidRPr="00887438">
        <w:rPr>
          <w:lang w:val="fr-FR"/>
        </w:rPr>
        <w:t xml:space="preserve">la </w:t>
      </w:r>
      <w:r w:rsidRPr="00887438">
        <w:rPr>
          <w:lang w:val="fr-FR"/>
        </w:rPr>
        <w:t xml:space="preserve">transition énergétique, et </w:t>
      </w:r>
      <w:r w:rsidR="00DF24F8">
        <w:rPr>
          <w:lang w:val="fr-FR"/>
        </w:rPr>
        <w:t xml:space="preserve">à </w:t>
      </w:r>
      <w:r w:rsidR="00B9641E" w:rsidRPr="00887438">
        <w:rPr>
          <w:lang w:val="fr-FR"/>
        </w:rPr>
        <w:t xml:space="preserve">un </w:t>
      </w:r>
      <w:r w:rsidRPr="00887438">
        <w:rPr>
          <w:lang w:val="fr-FR"/>
        </w:rPr>
        <w:t>risque accru de conflits</w:t>
      </w:r>
      <w:r w:rsidR="00B9641E" w:rsidRPr="00887438">
        <w:rPr>
          <w:lang w:val="fr-FR"/>
        </w:rPr>
        <w:t xml:space="preserve"> armés</w:t>
      </w:r>
      <w:r w:rsidR="00DF24F8">
        <w:rPr>
          <w:lang w:val="fr-FR"/>
        </w:rPr>
        <w:t>, mettent la pression sur les finances publiques</w:t>
      </w:r>
      <w:r w:rsidR="00B9641E" w:rsidRPr="00887438">
        <w:rPr>
          <w:lang w:val="fr-FR"/>
        </w:rPr>
        <w:t xml:space="preserve">. </w:t>
      </w:r>
      <w:r w:rsidR="00AE2208" w:rsidRPr="00887438">
        <w:rPr>
          <w:lang w:val="fr-FR"/>
        </w:rPr>
        <w:t xml:space="preserve">Comment faire </w:t>
      </w:r>
      <w:r w:rsidR="00DF24F8" w:rsidRPr="00887438">
        <w:rPr>
          <w:lang w:val="fr-FR"/>
        </w:rPr>
        <w:t>face ?</w:t>
      </w:r>
      <w:r w:rsidR="00AE2208" w:rsidRPr="00887438">
        <w:rPr>
          <w:lang w:val="fr-FR"/>
        </w:rPr>
        <w:t xml:space="preserve"> </w:t>
      </w:r>
    </w:p>
    <w:p w14:paraId="437B83AB" w14:textId="77777777" w:rsidR="00AE2208" w:rsidRPr="00887438" w:rsidRDefault="00AE2208">
      <w:pPr>
        <w:rPr>
          <w:lang w:val="fr-FR"/>
        </w:rPr>
      </w:pPr>
    </w:p>
    <w:p w14:paraId="09DF50D7" w14:textId="61DDBA54" w:rsidR="00DC1547" w:rsidRPr="00887438" w:rsidRDefault="00AE2208">
      <w:pPr>
        <w:rPr>
          <w:lang w:val="fr-FR"/>
        </w:rPr>
      </w:pPr>
      <w:r w:rsidRPr="00887438">
        <w:rPr>
          <w:lang w:val="fr-FR"/>
        </w:rPr>
        <w:t xml:space="preserve">Cette </w:t>
      </w:r>
      <w:r w:rsidRPr="00887438">
        <w:rPr>
          <w:i/>
          <w:iCs/>
          <w:lang w:val="fr-FR"/>
        </w:rPr>
        <w:t>Note</w:t>
      </w:r>
      <w:r w:rsidRPr="00887438">
        <w:rPr>
          <w:lang w:val="fr-FR"/>
        </w:rPr>
        <w:t xml:space="preserve"> documente </w:t>
      </w:r>
      <w:r w:rsidR="00DF24F8">
        <w:rPr>
          <w:lang w:val="fr-FR"/>
        </w:rPr>
        <w:t xml:space="preserve">d’abord </w:t>
      </w:r>
      <w:r w:rsidRPr="00887438">
        <w:rPr>
          <w:lang w:val="fr-FR"/>
        </w:rPr>
        <w:t>l’évolution historique de la dette publique français</w:t>
      </w:r>
      <w:r w:rsidR="00DC1547" w:rsidRPr="00887438">
        <w:rPr>
          <w:lang w:val="fr-FR"/>
        </w:rPr>
        <w:t>e</w:t>
      </w:r>
      <w:r w:rsidR="00DF24F8">
        <w:rPr>
          <w:lang w:val="fr-FR"/>
        </w:rPr>
        <w:t>.</w:t>
      </w:r>
      <w:r w:rsidRPr="00887438">
        <w:rPr>
          <w:lang w:val="fr-FR"/>
        </w:rPr>
        <w:t xml:space="preserve"> </w:t>
      </w:r>
      <w:r w:rsidR="00DF24F8">
        <w:rPr>
          <w:lang w:val="fr-FR"/>
        </w:rPr>
        <w:t>Elle</w:t>
      </w:r>
      <w:r w:rsidRPr="00887438">
        <w:rPr>
          <w:lang w:val="fr-FR"/>
        </w:rPr>
        <w:t xml:space="preserve"> montre </w:t>
      </w:r>
      <w:r w:rsidR="00DF24F8">
        <w:rPr>
          <w:lang w:val="fr-FR"/>
        </w:rPr>
        <w:t xml:space="preserve">que les taux de </w:t>
      </w:r>
      <w:r w:rsidRPr="00887438">
        <w:rPr>
          <w:lang w:val="fr-FR"/>
        </w:rPr>
        <w:t xml:space="preserve">financement de l’état et </w:t>
      </w:r>
      <w:r w:rsidR="00DF24F8">
        <w:rPr>
          <w:lang w:val="fr-FR"/>
        </w:rPr>
        <w:t xml:space="preserve">la </w:t>
      </w:r>
      <w:r w:rsidRPr="00887438">
        <w:rPr>
          <w:lang w:val="fr-FR"/>
        </w:rPr>
        <w:t>croissance</w:t>
      </w:r>
      <w:r w:rsidR="00DF24F8">
        <w:rPr>
          <w:lang w:val="fr-FR"/>
        </w:rPr>
        <w:t xml:space="preserve"> économique ont joué un rôle relativement mineur sur la trajectoire des finances publiques : ce sont, en revanche, les déficits primaires (hors charge d’intérêt de l’état) qui ont</w:t>
      </w:r>
      <w:r w:rsidRPr="00887438">
        <w:rPr>
          <w:lang w:val="fr-FR"/>
        </w:rPr>
        <w:t>, historiquement, tiré la dette publique vers son niveau actuel.</w:t>
      </w:r>
      <w:r w:rsidR="00DC1547" w:rsidRPr="00887438">
        <w:rPr>
          <w:lang w:val="fr-FR"/>
        </w:rPr>
        <w:t xml:space="preserve"> </w:t>
      </w:r>
      <w:r w:rsidR="00DF24F8">
        <w:rPr>
          <w:lang w:val="fr-FR"/>
        </w:rPr>
        <w:t xml:space="preserve">La </w:t>
      </w:r>
      <w:r w:rsidR="00DF24F8" w:rsidRPr="00DF24F8">
        <w:rPr>
          <w:i/>
          <w:iCs/>
          <w:lang w:val="fr-FR"/>
        </w:rPr>
        <w:t>Note</w:t>
      </w:r>
      <w:r w:rsidR="00DC1547" w:rsidRPr="00887438">
        <w:rPr>
          <w:lang w:val="fr-FR"/>
        </w:rPr>
        <w:t xml:space="preserve"> montre ensuite qu’on ne peut pas compter sur des taux de financement favorables pour réduire la dette publique : une réduction de la dette vers le niveau de 60% de PIB conforme aux engagements européens devra donc passer par un dégagement de surplus primaires à moyen terme. </w:t>
      </w:r>
      <w:r w:rsidR="00C62FCD" w:rsidRPr="00887438">
        <w:rPr>
          <w:lang w:val="fr-FR"/>
        </w:rPr>
        <w:t xml:space="preserve">Elle chiffre enfin la pression des vents contraires : changement démographique, transition énergétique, et réarmement, et montre que l’effort sur le reste des finances publiques sera particulièrement lourd.   </w:t>
      </w:r>
    </w:p>
    <w:p w14:paraId="4AD225EF" w14:textId="77777777" w:rsidR="00DC1547" w:rsidRPr="00887438" w:rsidRDefault="00DC1547">
      <w:pPr>
        <w:rPr>
          <w:lang w:val="fr-FR"/>
        </w:rPr>
      </w:pPr>
    </w:p>
    <w:p w14:paraId="343D9BFC" w14:textId="4625DFAB" w:rsidR="00DC1547" w:rsidRPr="00887438" w:rsidRDefault="00DC1547">
      <w:pPr>
        <w:rPr>
          <w:lang w:val="fr-FR"/>
        </w:rPr>
      </w:pPr>
      <w:r w:rsidRPr="00887438">
        <w:rPr>
          <w:lang w:val="fr-FR"/>
        </w:rPr>
        <w:t xml:space="preserve">La </w:t>
      </w:r>
      <w:r w:rsidRPr="00887438">
        <w:rPr>
          <w:i/>
          <w:iCs/>
          <w:lang w:val="fr-FR"/>
        </w:rPr>
        <w:t>Note</w:t>
      </w:r>
      <w:r w:rsidRPr="00887438">
        <w:rPr>
          <w:lang w:val="fr-FR"/>
        </w:rPr>
        <w:t xml:space="preserve"> se penche ensuite sur la trajectoire de court terme permettant d’atteindre cette trajectoire favorable. Une consolidation rapide, par les dépenses ou par les taxes, risque de peser sur la croissance. La </w:t>
      </w:r>
      <w:r w:rsidRPr="00887438">
        <w:rPr>
          <w:i/>
          <w:iCs/>
          <w:lang w:val="fr-FR"/>
        </w:rPr>
        <w:t>Note</w:t>
      </w:r>
      <w:r w:rsidRPr="00887438">
        <w:rPr>
          <w:lang w:val="fr-FR"/>
        </w:rPr>
        <w:t xml:space="preserve"> évalue</w:t>
      </w:r>
      <w:r w:rsidR="00C62FCD" w:rsidRPr="00887438">
        <w:rPr>
          <w:lang w:val="fr-FR"/>
        </w:rPr>
        <w:t xml:space="preserve"> les scenarios de consolidation et montre qu</w:t>
      </w:r>
      <w:r w:rsidR="00B41C9E" w:rsidRPr="00887438">
        <w:rPr>
          <w:lang w:val="fr-FR"/>
        </w:rPr>
        <w:t xml:space="preserve">’en étalant l’ajustement sur plusieurs années, il est possible au prix d’un effort élevé de retrouver une trajectoire qui respecte les règles européennes.   </w:t>
      </w:r>
    </w:p>
    <w:p w14:paraId="3AFBD444" w14:textId="77777777" w:rsidR="00B41C9E" w:rsidRPr="00887438" w:rsidRDefault="00B41C9E">
      <w:pPr>
        <w:rPr>
          <w:lang w:val="fr-FR"/>
        </w:rPr>
      </w:pPr>
    </w:p>
    <w:p w14:paraId="4259DD47" w14:textId="7BE1CB38" w:rsidR="00B41C9E" w:rsidRPr="00887438" w:rsidRDefault="00B41C9E">
      <w:pPr>
        <w:rPr>
          <w:lang w:val="fr-FR"/>
        </w:rPr>
      </w:pPr>
      <w:r w:rsidRPr="00887438">
        <w:rPr>
          <w:lang w:val="fr-FR"/>
        </w:rPr>
        <w:t xml:space="preserve">Enfin, la Note discute de sources potentielles de réduction du déficit public, du côté des dépenses comme de celui des recettes. </w:t>
      </w:r>
    </w:p>
    <w:p w14:paraId="7662B647" w14:textId="77777777" w:rsidR="00DC1547" w:rsidRPr="00887438" w:rsidRDefault="00DC1547">
      <w:pPr>
        <w:rPr>
          <w:lang w:val="fr-FR"/>
        </w:rPr>
      </w:pPr>
    </w:p>
    <w:p w14:paraId="1A41AD64" w14:textId="0394E945" w:rsidR="00DC1547" w:rsidRPr="00887438" w:rsidRDefault="00DC1547">
      <w:pPr>
        <w:rPr>
          <w:lang w:val="fr-FR"/>
        </w:rPr>
      </w:pPr>
    </w:p>
    <w:p w14:paraId="4440F902" w14:textId="77777777" w:rsidR="00DC1547" w:rsidRPr="00887438" w:rsidRDefault="00DC1547">
      <w:pPr>
        <w:rPr>
          <w:lang w:val="fr-FR"/>
        </w:rPr>
      </w:pPr>
    </w:p>
    <w:p w14:paraId="41C66494" w14:textId="77777777" w:rsidR="00DC1547" w:rsidRPr="00887438" w:rsidRDefault="00DC1547">
      <w:pPr>
        <w:rPr>
          <w:lang w:val="fr-FR"/>
        </w:rPr>
      </w:pPr>
    </w:p>
    <w:p w14:paraId="070E7758" w14:textId="0E354F9B" w:rsidR="00DC1547" w:rsidRPr="00887438" w:rsidRDefault="00DC1547">
      <w:pPr>
        <w:rPr>
          <w:lang w:val="fr-FR"/>
        </w:rPr>
      </w:pPr>
      <w:r w:rsidRPr="00887438">
        <w:rPr>
          <w:lang w:val="fr-FR"/>
        </w:rPr>
        <w:br w:type="page"/>
      </w:r>
    </w:p>
    <w:p w14:paraId="2E3BB6BD" w14:textId="534B2326" w:rsidR="00DC1547" w:rsidRPr="009A21DA" w:rsidRDefault="00C62FCD" w:rsidP="009A21DA">
      <w:pPr>
        <w:rPr>
          <w:b/>
          <w:bCs/>
          <w:lang w:val="fr-FR"/>
        </w:rPr>
      </w:pPr>
      <w:r w:rsidRPr="009A21DA">
        <w:rPr>
          <w:b/>
          <w:bCs/>
          <w:lang w:val="fr-FR"/>
        </w:rPr>
        <w:lastRenderedPageBreak/>
        <w:t xml:space="preserve">Dette publique et déficit public. </w:t>
      </w:r>
    </w:p>
    <w:p w14:paraId="77E1DE4E" w14:textId="77777777" w:rsidR="00DC1547" w:rsidRPr="00887438" w:rsidRDefault="00DC1547">
      <w:pPr>
        <w:rPr>
          <w:lang w:val="fr-FR"/>
        </w:rPr>
      </w:pPr>
    </w:p>
    <w:p w14:paraId="79B8FDFD" w14:textId="64A4A5B0" w:rsidR="00887438" w:rsidRDefault="00B41C9E">
      <w:pPr>
        <w:rPr>
          <w:lang w:val="fr-FR"/>
        </w:rPr>
      </w:pPr>
      <w:r w:rsidRPr="00887438">
        <w:rPr>
          <w:lang w:val="fr-FR"/>
        </w:rPr>
        <w:t xml:space="preserve">La dette publique française est passée de moins de 20% du PIB dans les années 1960-1970 à </w:t>
      </w:r>
      <w:r w:rsidR="00887438" w:rsidRPr="00887438">
        <w:rPr>
          <w:lang w:val="fr-FR"/>
        </w:rPr>
        <w:t xml:space="preserve">plus de </w:t>
      </w:r>
      <w:r w:rsidRPr="00887438">
        <w:rPr>
          <w:lang w:val="fr-FR"/>
        </w:rPr>
        <w:t>11</w:t>
      </w:r>
      <w:r w:rsidR="00887438" w:rsidRPr="00887438">
        <w:rPr>
          <w:lang w:val="fr-FR"/>
        </w:rPr>
        <w:t>0</w:t>
      </w:r>
      <w:r w:rsidRPr="00887438">
        <w:rPr>
          <w:lang w:val="fr-FR"/>
        </w:rPr>
        <w:t xml:space="preserve">% </w:t>
      </w:r>
      <w:r w:rsidR="00887438" w:rsidRPr="00887438">
        <w:rPr>
          <w:lang w:val="fr-FR"/>
        </w:rPr>
        <w:t>du PIB en 2023</w:t>
      </w:r>
      <w:r w:rsidRPr="00887438">
        <w:rPr>
          <w:lang w:val="fr-FR"/>
        </w:rPr>
        <w:t xml:space="preserve"> (Figure 1). </w:t>
      </w:r>
      <w:r w:rsidR="00887438" w:rsidRPr="00887438">
        <w:rPr>
          <w:lang w:val="fr-FR"/>
        </w:rPr>
        <w:t xml:space="preserve">Le niveau de </w:t>
      </w:r>
      <w:r w:rsidR="00887438">
        <w:rPr>
          <w:lang w:val="fr-FR"/>
        </w:rPr>
        <w:t xml:space="preserve">la </w:t>
      </w:r>
      <w:r w:rsidR="00887438" w:rsidRPr="00887438">
        <w:rPr>
          <w:lang w:val="fr-FR"/>
        </w:rPr>
        <w:t xml:space="preserve">dette publique correspond à l’accumulation </w:t>
      </w:r>
      <w:r w:rsidR="00887438">
        <w:rPr>
          <w:lang w:val="fr-FR"/>
        </w:rPr>
        <w:t>des</w:t>
      </w:r>
      <w:r w:rsidR="00887438" w:rsidRPr="00887438">
        <w:rPr>
          <w:lang w:val="fr-FR"/>
        </w:rPr>
        <w:t xml:space="preserve"> déficits publics passés. Par exemple, en mars 2024, l’INSEE annonçait un niveau de déficit public de 154 </w:t>
      </w:r>
      <w:r w:rsidR="00887438">
        <w:rPr>
          <w:lang w:val="fr-FR"/>
        </w:rPr>
        <w:t>m</w:t>
      </w:r>
      <w:r w:rsidR="00887438" w:rsidRPr="00887438">
        <w:rPr>
          <w:lang w:val="fr-FR"/>
        </w:rPr>
        <w:t>illiards d’Euros en 2023</w:t>
      </w:r>
      <w:r w:rsidR="00887438">
        <w:rPr>
          <w:lang w:val="fr-FR"/>
        </w:rPr>
        <w:t xml:space="preserve"> </w:t>
      </w:r>
      <w:r w:rsidR="00887438" w:rsidRPr="00887438">
        <w:rPr>
          <w:lang w:val="fr-FR"/>
        </w:rPr>
        <w:t>(</w:t>
      </w:r>
      <w:r w:rsidR="00887438">
        <w:rPr>
          <w:lang w:val="fr-FR"/>
        </w:rPr>
        <w:t xml:space="preserve">ou </w:t>
      </w:r>
      <w:r w:rsidR="00887438" w:rsidRPr="00887438">
        <w:rPr>
          <w:lang w:val="fr-FR"/>
        </w:rPr>
        <w:t xml:space="preserve">5.5% de PIB), faisant passer la dette publique de 2953 </w:t>
      </w:r>
      <w:r w:rsidR="00887438">
        <w:rPr>
          <w:lang w:val="fr-FR"/>
        </w:rPr>
        <w:t>m</w:t>
      </w:r>
      <w:r w:rsidR="00887438" w:rsidRPr="00887438">
        <w:rPr>
          <w:lang w:val="fr-FR"/>
        </w:rPr>
        <w:t xml:space="preserve">illiards d’Euros en 2022 a 3101 </w:t>
      </w:r>
      <w:r w:rsidR="00887438">
        <w:rPr>
          <w:lang w:val="fr-FR"/>
        </w:rPr>
        <w:t>m</w:t>
      </w:r>
      <w:r w:rsidR="00887438" w:rsidRPr="00887438">
        <w:rPr>
          <w:lang w:val="fr-FR"/>
        </w:rPr>
        <w:t>ill</w:t>
      </w:r>
      <w:r w:rsidR="00887438">
        <w:rPr>
          <w:lang w:val="fr-FR"/>
        </w:rPr>
        <w:t>i</w:t>
      </w:r>
      <w:r w:rsidR="00887438" w:rsidRPr="00887438">
        <w:rPr>
          <w:lang w:val="fr-FR"/>
        </w:rPr>
        <w:t>ards d’Euros en 2023</w:t>
      </w:r>
      <w:r w:rsidR="00887438">
        <w:rPr>
          <w:lang w:val="fr-FR"/>
        </w:rPr>
        <w:t>, après un « ajustement stock-flux » de 6 milliards d’Euros.  La figure 2 montre que les déficits publics ont continuellement augmenté en France dans les dernières décennies, passant d’une moyenne de 0.3% de PIB dans les années 1960-1970, à 3.1% de PIB dans les années 1980-1990, et à 4.4% depuis le début des années 2000.</w:t>
      </w:r>
    </w:p>
    <w:p w14:paraId="0D465152" w14:textId="77777777" w:rsidR="00887438" w:rsidRDefault="00B85612">
      <w:pPr>
        <w:rPr>
          <w:lang w:val="fr-FR"/>
        </w:rPr>
      </w:pPr>
      <w:r w:rsidRPr="00887438">
        <w:rPr>
          <w:lang w:val="fr-FR"/>
        </w:rPr>
        <w:t xml:space="preserve"> </w:t>
      </w:r>
    </w:p>
    <w:p w14:paraId="6FD81B44" w14:textId="2E922282" w:rsidR="00887438" w:rsidRPr="00887438" w:rsidRDefault="00887438" w:rsidP="00887438">
      <w:pPr>
        <w:rPr>
          <w:lang w:val="fr-FR"/>
        </w:rPr>
      </w:pPr>
      <w:r>
        <w:rPr>
          <w:lang w:val="fr-FR"/>
        </w:rPr>
        <w:t>Comme la dette publique est mesurée en ratio de PIB, la croissance nominale du PIB a elle aussi une influence sur la dynamique de la dette publique—une inflation plus élevée, ou un taux de croissance réelle plus élevé, aident tous deux à réduire le ratio de dette sur PIB. De plus, le déficit public est directement affecté par les taux d’intérêt d’emprunt de l’état, qui sont eux aussi affectés par le niveau d’inflation. Économiquement, il est</w:t>
      </w:r>
      <w:r w:rsidR="00DF24F8">
        <w:rPr>
          <w:lang w:val="fr-FR"/>
        </w:rPr>
        <w:t xml:space="preserve"> donc</w:t>
      </w:r>
      <w:r>
        <w:rPr>
          <w:lang w:val="fr-FR"/>
        </w:rPr>
        <w:t xml:space="preserve"> plus intéressant de se concentrer sur le déficit </w:t>
      </w:r>
      <w:r w:rsidRPr="00887438">
        <w:rPr>
          <w:i/>
          <w:iCs/>
          <w:lang w:val="fr-FR"/>
        </w:rPr>
        <w:t>primaire</w:t>
      </w:r>
      <w:r>
        <w:rPr>
          <w:lang w:val="fr-FR"/>
        </w:rPr>
        <w:t xml:space="preserve">, qui exclut du calcul du déficit la charge des intérêts d’emprunt de l’état. En 2023, la charge des intérêts d’emprunt de l’état était de 50 milliards d’Euros, et donc le déficit primaire de 104 milliards d’euros, ou 3.7% de PIB. </w:t>
      </w:r>
    </w:p>
    <w:p w14:paraId="509AFFFB" w14:textId="77777777" w:rsidR="00887438" w:rsidRPr="00887438" w:rsidRDefault="00887438" w:rsidP="00887438">
      <w:pPr>
        <w:rPr>
          <w:lang w:val="fr-FR"/>
        </w:rPr>
      </w:pPr>
    </w:p>
    <w:p w14:paraId="655B18D2" w14:textId="3CFAE952" w:rsidR="00887438" w:rsidRDefault="00DF24F8" w:rsidP="00887438">
      <w:pPr>
        <w:rPr>
          <w:rFonts w:eastAsiaTheme="minorEastAsia"/>
          <w:lang w:val="fr-FR"/>
        </w:rPr>
      </w:pPr>
      <w:r>
        <w:rPr>
          <w:lang w:val="fr-FR"/>
        </w:rPr>
        <w:t xml:space="preserve">En utilisant ces concepts, </w:t>
      </w:r>
      <w:proofErr w:type="gramStart"/>
      <w:r>
        <w:rPr>
          <w:lang w:val="fr-FR"/>
        </w:rPr>
        <w:t>ils est</w:t>
      </w:r>
      <w:proofErr w:type="gramEnd"/>
      <w:r w:rsidR="00887438">
        <w:rPr>
          <w:lang w:val="fr-FR"/>
        </w:rPr>
        <w:t xml:space="preserve"> possible (voir encadré) de décomposer la variation du ratio de dette sur PIB entre le déficit primaire (incluant l’ajustement stock-flux) et un terme qui reflète la différence entre le taux d’intérêt d’emprunt de l’état et le taux de croissance nominale du PIB, dit « terme </w:t>
      </w:r>
      <m:oMath>
        <m:r>
          <w:rPr>
            <w:rFonts w:ascii="Cambria Math" w:hAnsi="Cambria Math"/>
            <w:lang w:val="fr-FR"/>
          </w:rPr>
          <m:t>r-g</m:t>
        </m:r>
      </m:oMath>
      <w:r w:rsidR="00887438">
        <w:rPr>
          <w:lang w:val="fr-FR"/>
        </w:rPr>
        <w:t xml:space="preserve"> ».  La figure 3 fait cette décomposition pour le ratio de dette sur PIB en France. Cette figure fait clairement apparaitre deux choses. D’une part, la composante rouge domine : les déficits primaires sont la raison principale de l’augmentation du ratio de dette sur PIB en France que l’on visualise sur la figure 1. D’autre part, bien que le niveau de croissance nominale du PIB puisse avoir une influence à court terme sur le taux d’endettement—ainsi en 2009 et 2020, la chute de la croissance a beaucoup augmenter le ratio de dette sur PIB, et entre 2021 et 2023, le rebond de croissance et d’inflation ont beaucoup aidé à diminuer ce ratio—cet effet, en moyenne sur une longue période, tend à être juste suffisant pour payer la charge des taux d’emprunt, de sorte que le terme </w:t>
      </w:r>
      <m:oMath>
        <m:r>
          <w:rPr>
            <w:rFonts w:ascii="Cambria Math" w:hAnsi="Cambria Math"/>
            <w:lang w:val="fr-FR"/>
          </w:rPr>
          <m:t>r-g</m:t>
        </m:r>
      </m:oMath>
      <w:r w:rsidR="00887438">
        <w:rPr>
          <w:rFonts w:eastAsiaTheme="minorEastAsia"/>
          <w:lang w:val="fr-FR"/>
        </w:rPr>
        <w:t xml:space="preserve"> est proche de zéro sur le long terme. </w:t>
      </w:r>
    </w:p>
    <w:p w14:paraId="65B51AF5" w14:textId="77777777" w:rsidR="00887438" w:rsidRDefault="00887438">
      <w:pPr>
        <w:rPr>
          <w:lang w:val="fr-FR"/>
        </w:rPr>
      </w:pPr>
    </w:p>
    <w:p w14:paraId="712DFCAB" w14:textId="77777777" w:rsidR="00887438" w:rsidRDefault="00887438">
      <w:pPr>
        <w:rPr>
          <w:lang w:val="fr-FR"/>
        </w:rPr>
      </w:pPr>
      <w:r>
        <w:rPr>
          <w:lang w:val="fr-FR"/>
        </w:rPr>
        <w:br w:type="page"/>
      </w:r>
    </w:p>
    <w:p w14:paraId="427A4131" w14:textId="5DAA8144" w:rsidR="00B85612" w:rsidRPr="00887438" w:rsidRDefault="00B85612">
      <w:pPr>
        <w:rPr>
          <w:lang w:val="fr-FR"/>
        </w:rPr>
      </w:pPr>
      <w:r w:rsidRPr="00887438">
        <w:rPr>
          <w:lang w:val="fr-FR"/>
        </w:rPr>
        <w:lastRenderedPageBreak/>
        <w:t xml:space="preserve"> </w:t>
      </w:r>
    </w:p>
    <w:p w14:paraId="64B0DB92" w14:textId="00C87D2C" w:rsidR="00B41C9E" w:rsidRPr="00887438" w:rsidRDefault="00B41C9E" w:rsidP="00887438">
      <w:pPr>
        <w:pStyle w:val="Caption"/>
        <w:rPr>
          <w:sz w:val="20"/>
          <w:szCs w:val="20"/>
          <w:lang w:val="fr-FR"/>
        </w:rPr>
      </w:pPr>
      <w:bookmarkStart w:id="0" w:name="OLE_LINK2"/>
      <w:r w:rsidRPr="00887438">
        <w:rPr>
          <w:sz w:val="20"/>
          <w:szCs w:val="20"/>
          <w:lang w:val="fr-FR"/>
        </w:rPr>
        <w:t xml:space="preserve">Figure </w:t>
      </w:r>
      <w:r w:rsidRPr="00887438">
        <w:rPr>
          <w:sz w:val="20"/>
          <w:szCs w:val="20"/>
          <w:lang w:val="fr-FR"/>
        </w:rPr>
        <w:fldChar w:fldCharType="begin"/>
      </w:r>
      <w:r w:rsidRPr="00887438">
        <w:rPr>
          <w:sz w:val="20"/>
          <w:szCs w:val="20"/>
          <w:lang w:val="fr-FR"/>
        </w:rPr>
        <w:instrText xml:space="preserve"> SEQ Figure \* ARABIC </w:instrText>
      </w:r>
      <w:r w:rsidRPr="00887438">
        <w:rPr>
          <w:sz w:val="20"/>
          <w:szCs w:val="20"/>
          <w:lang w:val="fr-FR"/>
        </w:rPr>
        <w:fldChar w:fldCharType="separate"/>
      </w:r>
      <w:r w:rsidRPr="00887438">
        <w:rPr>
          <w:noProof/>
          <w:sz w:val="20"/>
          <w:szCs w:val="20"/>
          <w:lang w:val="fr-FR"/>
        </w:rPr>
        <w:t>1</w:t>
      </w:r>
      <w:r w:rsidRPr="00887438">
        <w:rPr>
          <w:sz w:val="20"/>
          <w:szCs w:val="20"/>
          <w:lang w:val="fr-FR"/>
        </w:rPr>
        <w:fldChar w:fldCharType="end"/>
      </w:r>
      <w:r w:rsidRPr="00887438">
        <w:rPr>
          <w:sz w:val="20"/>
          <w:szCs w:val="20"/>
          <w:lang w:val="fr-FR"/>
        </w:rPr>
        <w:t xml:space="preserve">  </w:t>
      </w:r>
      <w:r w:rsidR="00887438" w:rsidRPr="00887438">
        <w:rPr>
          <w:sz w:val="20"/>
          <w:szCs w:val="20"/>
          <w:lang w:val="fr-FR"/>
        </w:rPr>
        <w:t>Dette publi</w:t>
      </w:r>
      <w:r w:rsidR="00887438">
        <w:rPr>
          <w:sz w:val="20"/>
          <w:szCs w:val="20"/>
          <w:lang w:val="fr-FR"/>
        </w:rPr>
        <w:t>que</w:t>
      </w:r>
      <w:r w:rsidR="00887438" w:rsidRPr="00887438">
        <w:rPr>
          <w:sz w:val="20"/>
          <w:szCs w:val="20"/>
          <w:lang w:val="fr-FR"/>
        </w:rPr>
        <w:t xml:space="preserve"> en </w:t>
      </w:r>
      <w:r w:rsidR="00887438">
        <w:rPr>
          <w:sz w:val="20"/>
          <w:szCs w:val="20"/>
          <w:lang w:val="fr-FR"/>
        </w:rPr>
        <w:t>France en % de PIB</w:t>
      </w:r>
      <w:r w:rsidR="00887438" w:rsidRPr="00887438">
        <w:rPr>
          <w:sz w:val="20"/>
          <w:szCs w:val="20"/>
          <w:lang w:val="fr-FR"/>
        </w:rPr>
        <w:t>, 1960 à 2023</w:t>
      </w:r>
      <w:bookmarkEnd w:id="0"/>
      <w:r w:rsidR="00887438" w:rsidRPr="00887438">
        <w:rPr>
          <w:noProof/>
          <w:lang w:val="fr-FR"/>
        </w:rPr>
        <w:drawing>
          <wp:inline distT="0" distB="0" distL="0" distR="0" wp14:anchorId="4BF8A85F" wp14:editId="46F0E06F">
            <wp:extent cx="4940300" cy="3505200"/>
            <wp:effectExtent l="0" t="0" r="12700" b="12700"/>
            <wp:docPr id="619157424" name="Chart 1">
              <a:extLst xmlns:a="http://schemas.openxmlformats.org/drawingml/2006/main">
                <a:ext uri="{FF2B5EF4-FFF2-40B4-BE49-F238E27FC236}">
                  <a16:creationId xmlns:a16="http://schemas.microsoft.com/office/drawing/2014/main" id="{782A98A7-7388-77BC-B41F-E6AF45A20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A94E73" w14:textId="77777777" w:rsidR="00887438" w:rsidRPr="00887438" w:rsidRDefault="00887438" w:rsidP="00B41C9E">
      <w:pPr>
        <w:keepNext/>
        <w:rPr>
          <w:lang w:val="fr-FR"/>
        </w:rPr>
      </w:pPr>
    </w:p>
    <w:p w14:paraId="50248585" w14:textId="34D8CED1" w:rsidR="00887438" w:rsidRPr="00887438" w:rsidRDefault="00887438" w:rsidP="00887438">
      <w:pPr>
        <w:pStyle w:val="Caption"/>
        <w:rPr>
          <w:sz w:val="20"/>
          <w:szCs w:val="20"/>
          <w:lang w:val="fr-FR"/>
        </w:rPr>
      </w:pPr>
      <w:bookmarkStart w:id="1" w:name="OLE_LINK4"/>
      <w:r w:rsidRPr="00887438">
        <w:rPr>
          <w:sz w:val="20"/>
          <w:szCs w:val="20"/>
          <w:lang w:val="fr-FR"/>
        </w:rPr>
        <w:t xml:space="preserve">Figure </w:t>
      </w:r>
      <w:proofErr w:type="gramStart"/>
      <w:r w:rsidRPr="00887438">
        <w:rPr>
          <w:sz w:val="20"/>
          <w:szCs w:val="20"/>
          <w:lang w:val="fr-FR"/>
        </w:rPr>
        <w:t xml:space="preserve">2  </w:t>
      </w:r>
      <w:r>
        <w:rPr>
          <w:sz w:val="20"/>
          <w:szCs w:val="20"/>
          <w:lang w:val="fr-FR"/>
        </w:rPr>
        <w:t>Déficit</w:t>
      </w:r>
      <w:proofErr w:type="gramEnd"/>
      <w:r>
        <w:rPr>
          <w:sz w:val="20"/>
          <w:szCs w:val="20"/>
          <w:lang w:val="fr-FR"/>
        </w:rPr>
        <w:t xml:space="preserve"> public en France et ajustement stock-flux en % de PIB, 1960-2023</w:t>
      </w:r>
      <w:r w:rsidRPr="00887438">
        <w:rPr>
          <w:sz w:val="20"/>
          <w:szCs w:val="20"/>
          <w:lang w:val="fr-FR"/>
        </w:rPr>
        <w:t xml:space="preserve"> </w:t>
      </w:r>
      <w:bookmarkEnd w:id="1"/>
      <w:r w:rsidRPr="00887438">
        <w:rPr>
          <w:noProof/>
          <w:lang w:val="fr-FR"/>
        </w:rPr>
        <w:drawing>
          <wp:inline distT="0" distB="0" distL="0" distR="0" wp14:anchorId="2CF69BD4" wp14:editId="1A443D50">
            <wp:extent cx="5029200" cy="3670300"/>
            <wp:effectExtent l="0" t="0" r="12700" b="12700"/>
            <wp:docPr id="550315649" name="Chart 1">
              <a:extLst xmlns:a="http://schemas.openxmlformats.org/drawingml/2006/main">
                <a:ext uri="{FF2B5EF4-FFF2-40B4-BE49-F238E27FC236}">
                  <a16:creationId xmlns:a16="http://schemas.microsoft.com/office/drawing/2014/main" id="{EF40C30F-E7FF-B479-8927-49130C134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EFB875" w14:textId="77777777" w:rsidR="00887438" w:rsidRDefault="00887438" w:rsidP="00887438">
      <w:pPr>
        <w:rPr>
          <w:rFonts w:eastAsiaTheme="minorEastAsia"/>
          <w:lang w:val="fr-FR"/>
        </w:rPr>
      </w:pPr>
    </w:p>
    <w:p w14:paraId="2BED88F7" w14:textId="10049E70" w:rsidR="00887438" w:rsidRPr="00887438" w:rsidRDefault="00887438" w:rsidP="00887438">
      <w:pPr>
        <w:rPr>
          <w:lang w:val="fr-FR"/>
        </w:rPr>
      </w:pPr>
    </w:p>
    <w:p w14:paraId="52AC384E" w14:textId="77777777" w:rsidR="00887438" w:rsidRPr="00887438" w:rsidRDefault="00887438" w:rsidP="00887438">
      <w:pPr>
        <w:pBdr>
          <w:top w:val="single" w:sz="4" w:space="1" w:color="auto"/>
          <w:left w:val="single" w:sz="4" w:space="4" w:color="auto"/>
          <w:bottom w:val="single" w:sz="4" w:space="1" w:color="auto"/>
          <w:right w:val="single" w:sz="4" w:space="4" w:color="auto"/>
        </w:pBdr>
        <w:rPr>
          <w:b/>
          <w:bCs/>
          <w:lang w:val="fr-FR"/>
        </w:rPr>
      </w:pPr>
      <w:r>
        <w:rPr>
          <w:b/>
          <w:bCs/>
          <w:lang w:val="fr-FR"/>
        </w:rPr>
        <w:t>Encadré : d</w:t>
      </w:r>
      <w:r w:rsidRPr="00887438">
        <w:rPr>
          <w:b/>
          <w:bCs/>
          <w:lang w:val="fr-FR"/>
        </w:rPr>
        <w:t>ynamique de la dette publique</w:t>
      </w:r>
    </w:p>
    <w:p w14:paraId="33F8FA9A" w14:textId="77777777" w:rsidR="00887438" w:rsidRDefault="00887438" w:rsidP="00887438">
      <w:pPr>
        <w:pBdr>
          <w:top w:val="single" w:sz="4" w:space="1" w:color="auto"/>
          <w:left w:val="single" w:sz="4" w:space="4" w:color="auto"/>
          <w:bottom w:val="single" w:sz="4" w:space="1" w:color="auto"/>
          <w:right w:val="single" w:sz="4" w:space="4" w:color="auto"/>
        </w:pBdr>
        <w:rPr>
          <w:lang w:val="fr-FR"/>
        </w:rPr>
      </w:pPr>
    </w:p>
    <w:p w14:paraId="71B2BFDB" w14:textId="77777777" w:rsidR="00887438" w:rsidRPr="00887438" w:rsidRDefault="00887438" w:rsidP="00887438">
      <w:pPr>
        <w:pBdr>
          <w:top w:val="single" w:sz="4" w:space="1" w:color="auto"/>
          <w:left w:val="single" w:sz="4" w:space="4" w:color="auto"/>
          <w:bottom w:val="single" w:sz="4" w:space="1" w:color="auto"/>
          <w:right w:val="single" w:sz="4" w:space="4" w:color="auto"/>
        </w:pBdr>
        <w:rPr>
          <w:rFonts w:eastAsiaTheme="minorEastAsia"/>
          <w:lang w:val="fr-FR"/>
        </w:rPr>
      </w:pPr>
      <w:r>
        <w:rPr>
          <w:lang w:val="fr-FR"/>
        </w:rPr>
        <w:t>Mathématiquement,</w:t>
      </w:r>
      <w:r w:rsidRPr="00887438">
        <w:rPr>
          <w:lang w:val="fr-FR"/>
        </w:rPr>
        <w:t xml:space="preserve"> en écrivant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sidRPr="00887438">
        <w:rPr>
          <w:rFonts w:eastAsiaTheme="minorEastAsia"/>
          <w:lang w:val="fr-FR"/>
        </w:rPr>
        <w:t xml:space="preserve">  pour le </w:t>
      </w:r>
      <w:r w:rsidRPr="00887438">
        <w:rPr>
          <w:lang w:val="fr-FR"/>
        </w:rPr>
        <w:t xml:space="preserve">niveau de dette publique </w:t>
      </w:r>
      <w:r w:rsidRPr="00887438">
        <w:rPr>
          <w:rFonts w:eastAsiaTheme="minorEastAsia"/>
          <w:lang w:val="fr-FR"/>
        </w:rPr>
        <w:t xml:space="preserve">en année </w:t>
      </w:r>
      <m:oMath>
        <m:r>
          <w:rPr>
            <w:rFonts w:ascii="Cambria Math" w:eastAsiaTheme="minorEastAsia" w:hAnsi="Cambria Math"/>
            <w:lang w:val="fr-FR"/>
          </w:rPr>
          <m:t>t</m:t>
        </m:r>
      </m:oMath>
      <w:r w:rsidRPr="00887438">
        <w:rPr>
          <w:lang w:val="fr-FR"/>
        </w:rPr>
        <w:t xml:space="preserve">, </w:t>
      </w:r>
      <w:r>
        <w:rPr>
          <w:lang w:val="fr-FR"/>
        </w:rPr>
        <w:t xml:space="preserve">l’équation comptable qui relie </w:t>
      </w:r>
      <w:r w:rsidRPr="00887438">
        <w:rPr>
          <w:lang w:val="fr-FR"/>
        </w:rPr>
        <w:t xml:space="preserve">le changement de niveau de dette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t-1</m:t>
            </m:r>
          </m:sub>
        </m:sSub>
      </m:oMath>
      <w:r w:rsidRPr="00887438">
        <w:rPr>
          <w:rFonts w:eastAsiaTheme="minorEastAsia"/>
          <w:lang w:val="fr-FR"/>
        </w:rPr>
        <w:t xml:space="preserve"> au niveau de la charge des intérêts sur la dette </w:t>
      </w:r>
      <m:oMath>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t</m:t>
            </m:r>
          </m:sub>
        </m:sSub>
        <m:sSub>
          <m:sSubPr>
            <m:ctrlPr>
              <w:rPr>
                <w:rFonts w:ascii="Cambria Math" w:eastAsiaTheme="minorEastAsia" w:hAnsi="Cambria Math"/>
                <w:i/>
                <w:lang w:val="fr-FR"/>
              </w:rPr>
            </m:ctrlPr>
          </m:sSubPr>
          <m:e>
            <m:r>
              <w:rPr>
                <w:rFonts w:ascii="Cambria Math" w:eastAsiaTheme="minorEastAsia" w:hAnsi="Cambria Math"/>
                <w:lang w:val="fr-FR"/>
              </w:rPr>
              <m:t>B</m:t>
            </m:r>
          </m:e>
          <m:sub>
            <m:r>
              <w:rPr>
                <w:rFonts w:ascii="Cambria Math" w:eastAsiaTheme="minorEastAsia" w:hAnsi="Cambria Math"/>
                <w:lang w:val="fr-FR"/>
              </w:rPr>
              <m:t>t-1</m:t>
            </m:r>
          </m:sub>
        </m:sSub>
      </m:oMath>
      <w:r w:rsidRPr="00887438">
        <w:rPr>
          <w:rFonts w:eastAsiaTheme="minorEastAsia"/>
          <w:lang w:val="fr-FR"/>
        </w:rPr>
        <w:t>, d</w:t>
      </w:r>
      <w:r>
        <w:rPr>
          <w:rFonts w:eastAsiaTheme="minorEastAsia"/>
          <w:lang w:val="fr-FR"/>
        </w:rPr>
        <w:t>u</w:t>
      </w:r>
      <w:r w:rsidRPr="00887438">
        <w:rPr>
          <w:rFonts w:eastAsiaTheme="minorEastAsia"/>
          <w:lang w:val="fr-FR"/>
        </w:rPr>
        <w:t xml:space="preserve"> déficit primaire, </w:t>
      </w:r>
      <m:oMath>
        <m:sSub>
          <m:sSubPr>
            <m:ctrlPr>
              <w:rPr>
                <w:rFonts w:ascii="Cambria Math" w:eastAsiaTheme="minorEastAsia" w:hAnsi="Cambria Math"/>
                <w:i/>
                <w:lang w:val="fr-FR"/>
              </w:rPr>
            </m:ctrlPr>
          </m:sSubPr>
          <m:e>
            <m:r>
              <w:rPr>
                <w:rFonts w:ascii="Cambria Math" w:eastAsiaTheme="minorEastAsia" w:hAnsi="Cambria Math"/>
                <w:lang w:val="fr-FR"/>
              </w:rPr>
              <m:t>D</m:t>
            </m:r>
          </m:e>
          <m:sub>
            <m:r>
              <w:rPr>
                <w:rFonts w:ascii="Cambria Math" w:eastAsiaTheme="minorEastAsia" w:hAnsi="Cambria Math"/>
                <w:lang w:val="fr-FR"/>
              </w:rPr>
              <m:t>t</m:t>
            </m:r>
          </m:sub>
        </m:sSub>
      </m:oMath>
      <w:r w:rsidRPr="00887438">
        <w:rPr>
          <w:rFonts w:eastAsiaTheme="minorEastAsia"/>
          <w:lang w:val="fr-FR"/>
        </w:rPr>
        <w:t>, et de l’ajustement dit « stock flux » </w:t>
      </w:r>
      <w:r w:rsidRPr="00887438">
        <w:rPr>
          <w:rFonts w:ascii="Cambria Math" w:eastAsiaTheme="minorEastAsia" w:hAnsi="Cambria Math"/>
          <w:i/>
          <w:lang w:val="fr-FR"/>
        </w:rPr>
        <w:t xml:space="preserve"> </w:t>
      </w:r>
      <m:oMath>
        <m:sSub>
          <m:sSubPr>
            <m:ctrlPr>
              <w:rPr>
                <w:rFonts w:ascii="Cambria Math" w:eastAsiaTheme="minorEastAsia" w:hAnsi="Cambria Math"/>
                <w:i/>
                <w:lang w:val="fr-FR"/>
              </w:rPr>
            </m:ctrlPr>
          </m:sSubPr>
          <m:e>
            <m:r>
              <w:rPr>
                <w:rFonts w:ascii="Cambria Math" w:eastAsiaTheme="minorEastAsia" w:hAnsi="Cambria Math"/>
                <w:lang w:val="fr-FR"/>
              </w:rPr>
              <m:t>S</m:t>
            </m:r>
          </m:e>
          <m:sub>
            <m:r>
              <w:rPr>
                <w:rFonts w:ascii="Cambria Math" w:eastAsiaTheme="minorEastAsia" w:hAnsi="Cambria Math"/>
                <w:lang w:val="fr-FR"/>
              </w:rPr>
              <m:t>t</m:t>
            </m:r>
          </m:sub>
        </m:sSub>
      </m:oMath>
      <w:r>
        <w:rPr>
          <w:rFonts w:eastAsiaTheme="minorEastAsia"/>
          <w:lang w:val="fr-FR"/>
        </w:rPr>
        <w:t xml:space="preserve"> est</w:t>
      </w:r>
      <w:r w:rsidRPr="00887438">
        <w:rPr>
          <w:rFonts w:eastAsiaTheme="minorEastAsia"/>
          <w:lang w:val="fr-FR"/>
        </w:rPr>
        <w:t xml:space="preserve"> </w:t>
      </w:r>
    </w:p>
    <w:p w14:paraId="7177338F" w14:textId="77777777" w:rsidR="00887438" w:rsidRPr="00887438" w:rsidRDefault="00887438" w:rsidP="00887438">
      <w:pPr>
        <w:pBdr>
          <w:top w:val="single" w:sz="4" w:space="1" w:color="auto"/>
          <w:left w:val="single" w:sz="4" w:space="4" w:color="auto"/>
          <w:bottom w:val="single" w:sz="4" w:space="1" w:color="auto"/>
          <w:right w:val="single" w:sz="4" w:space="4" w:color="auto"/>
        </w:pBdr>
        <w:rPr>
          <w:rFonts w:eastAsiaTheme="minorEastAsia"/>
          <w:lang w:val="fr-FR"/>
        </w:rPr>
      </w:pPr>
    </w:p>
    <w:p w14:paraId="0501F0A9" w14:textId="77777777" w:rsidR="00887438" w:rsidRPr="00887438" w:rsidRDefault="00000000" w:rsidP="00887438">
      <w:pPr>
        <w:pBdr>
          <w:top w:val="single" w:sz="4" w:space="1" w:color="auto"/>
          <w:left w:val="single" w:sz="4" w:space="4" w:color="auto"/>
          <w:bottom w:val="single" w:sz="4" w:space="1" w:color="auto"/>
          <w:right w:val="single" w:sz="4" w:space="4" w:color="auto"/>
        </w:pBdr>
        <w:rPr>
          <w:rFonts w:eastAsiaTheme="minorEastAsia"/>
          <w:vertAlign w:val="superscript"/>
          <w:lang w:val="fr-FR"/>
        </w:rPr>
      </w:pPr>
      <m:oMathPara>
        <m:oMath>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t-1</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i</m:t>
              </m:r>
            </m:e>
            <m:sub>
              <m:r>
                <w:rPr>
                  <w:rFonts w:ascii="Cambria Math" w:hAnsi="Cambria Math"/>
                  <w:vertAlign w:val="superscript"/>
                  <w:lang w:val="fr-FR"/>
                </w:rPr>
                <m:t>t</m:t>
              </m:r>
            </m:sub>
          </m:sSub>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t-1</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D</m:t>
              </m:r>
            </m:e>
            <m:sub>
              <m:r>
                <w:rPr>
                  <w:rFonts w:ascii="Cambria Math" w:hAnsi="Cambria Math"/>
                  <w:vertAlign w:val="superscript"/>
                  <w:lang w:val="fr-FR"/>
                </w:rPr>
                <m:t>t</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S</m:t>
              </m:r>
            </m:e>
            <m:sub>
              <m:r>
                <w:rPr>
                  <w:rFonts w:ascii="Cambria Math" w:hAnsi="Cambria Math"/>
                  <w:vertAlign w:val="superscript"/>
                  <w:lang w:val="fr-FR"/>
                </w:rPr>
                <m:t>t</m:t>
              </m:r>
            </m:sub>
          </m:sSub>
          <m:r>
            <w:rPr>
              <w:rFonts w:ascii="Cambria Math" w:hAnsi="Cambria Math"/>
              <w:vertAlign w:val="superscript"/>
              <w:lang w:val="fr-FR"/>
            </w:rPr>
            <m:t xml:space="preserve"> </m:t>
          </m:r>
        </m:oMath>
      </m:oMathPara>
    </w:p>
    <w:p w14:paraId="367A32AD" w14:textId="77777777" w:rsidR="00887438" w:rsidRPr="00887438" w:rsidRDefault="00887438" w:rsidP="00887438">
      <w:pPr>
        <w:pBdr>
          <w:top w:val="single" w:sz="4" w:space="1" w:color="auto"/>
          <w:left w:val="single" w:sz="4" w:space="4" w:color="auto"/>
          <w:bottom w:val="single" w:sz="4" w:space="1" w:color="auto"/>
          <w:right w:val="single" w:sz="4" w:space="4" w:color="auto"/>
        </w:pBdr>
        <w:rPr>
          <w:vertAlign w:val="superscript"/>
          <w:lang w:val="fr-FR"/>
        </w:rPr>
      </w:pPr>
    </w:p>
    <w:p w14:paraId="08F6E1EE" w14:textId="77777777" w:rsidR="00887438" w:rsidRPr="00887438" w:rsidRDefault="00887438" w:rsidP="00887438">
      <w:pPr>
        <w:pBdr>
          <w:top w:val="single" w:sz="4" w:space="1" w:color="auto"/>
          <w:left w:val="single" w:sz="4" w:space="4" w:color="auto"/>
          <w:bottom w:val="single" w:sz="4" w:space="1" w:color="auto"/>
          <w:right w:val="single" w:sz="4" w:space="4" w:color="auto"/>
        </w:pBdr>
        <w:rPr>
          <w:rFonts w:eastAsiaTheme="minorEastAsia"/>
          <w:lang w:val="fr-FR"/>
        </w:rPr>
      </w:pPr>
      <w:proofErr w:type="gramStart"/>
      <w:r w:rsidRPr="00887438">
        <w:rPr>
          <w:lang w:val="fr-FR"/>
        </w:rPr>
        <w:t>où</w:t>
      </w:r>
      <w:proofErr w:type="gramEnd"/>
      <w:r w:rsidRPr="00887438">
        <w:rPr>
          <w:lang w:val="fr-FR"/>
        </w:rPr>
        <w:t xml:space="preserve"> </w:t>
      </w:r>
      <m:oMath>
        <m:sSub>
          <m:sSubPr>
            <m:ctrlPr>
              <w:rPr>
                <w:rFonts w:ascii="Cambria Math" w:hAnsi="Cambria Math"/>
                <w:i/>
                <w:lang w:val="fr-FR"/>
              </w:rPr>
            </m:ctrlPr>
          </m:sSubPr>
          <m:e>
            <m:r>
              <w:rPr>
                <w:rFonts w:ascii="Cambria Math" w:hAnsi="Cambria Math"/>
                <w:lang w:val="fr-FR"/>
              </w:rPr>
              <m:t>i</m:t>
            </m:r>
          </m:e>
          <m:sub>
            <m:r>
              <w:rPr>
                <w:rFonts w:ascii="Cambria Math" w:hAnsi="Cambria Math"/>
                <w:lang w:val="fr-FR"/>
              </w:rPr>
              <m:t>t</m:t>
            </m:r>
          </m:sub>
        </m:sSub>
      </m:oMath>
      <w:r w:rsidRPr="00887438">
        <w:rPr>
          <w:rFonts w:eastAsiaTheme="minorEastAsia"/>
          <w:lang w:val="fr-FR"/>
        </w:rPr>
        <w:t xml:space="preserve"> dénote le taux d’intérêt nominal apparent sur la dette publique. Le ratio de dette sur le PIB nominal,</w:t>
      </w:r>
      <w:r w:rsidRPr="00887438">
        <w:rPr>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t</m:t>
            </m:r>
          </m:sub>
        </m:sSub>
      </m:oMath>
      <w:r w:rsidRPr="00887438">
        <w:rPr>
          <w:rFonts w:eastAsiaTheme="minorEastAsia"/>
          <w:lang w:val="fr-FR"/>
        </w:rPr>
        <w:t xml:space="preserve">, évolue </w:t>
      </w:r>
      <w:r>
        <w:rPr>
          <w:rFonts w:eastAsiaTheme="minorEastAsia"/>
          <w:lang w:val="fr-FR"/>
        </w:rPr>
        <w:t xml:space="preserve">donc </w:t>
      </w:r>
      <w:r w:rsidRPr="00887438">
        <w:rPr>
          <w:rFonts w:eastAsiaTheme="minorEastAsia"/>
          <w:lang w:val="fr-FR"/>
        </w:rPr>
        <w:t>selon l’équation</w:t>
      </w:r>
    </w:p>
    <w:p w14:paraId="02461B17" w14:textId="10E992A0" w:rsidR="00887438" w:rsidRPr="00DF24F8" w:rsidRDefault="00887438" w:rsidP="00887438">
      <w:pPr>
        <w:pBdr>
          <w:top w:val="single" w:sz="4" w:space="1" w:color="auto"/>
          <w:left w:val="single" w:sz="4" w:space="4" w:color="auto"/>
          <w:bottom w:val="single" w:sz="4" w:space="1" w:color="auto"/>
          <w:right w:val="single" w:sz="4" w:space="4" w:color="auto"/>
        </w:pBdr>
        <w:rPr>
          <w:rFonts w:ascii="Cambria Math" w:eastAsiaTheme="minorEastAsia" w:hAnsi="Cambria Math"/>
          <w:i/>
          <w:vertAlign w:val="superscript"/>
          <w:lang w:val="fr-FR"/>
        </w:rPr>
      </w:pPr>
      <w:r w:rsidRPr="00887438">
        <w:rPr>
          <w:rFonts w:ascii="Cambria Math" w:hAnsi="Cambria Math"/>
          <w:i/>
          <w:vertAlign w:val="superscript"/>
          <w:lang w:val="fr-FR"/>
        </w:rPr>
        <w:br/>
      </w:r>
      <m:oMathPara>
        <m:oMath>
          <m:eqArr>
            <m:eqArrPr>
              <m:maxDist m:val="1"/>
              <m:ctrlPr>
                <w:rPr>
                  <w:rFonts w:ascii="Cambria Math" w:hAnsi="Cambria Math"/>
                  <w:i/>
                  <w:vertAlign w:val="superscript"/>
                  <w:lang w:val="fr-FR"/>
                </w:rPr>
              </m:ctrlPr>
            </m:eqArrPr>
            <m:e>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t-1</m:t>
                  </m:r>
                </m:sub>
              </m:sSub>
              <m:r>
                <w:rPr>
                  <w:rFonts w:ascii="Cambria Math" w:hAnsi="Cambria Math"/>
                  <w:vertAlign w:val="superscript"/>
                  <w:lang w:val="fr-FR"/>
                </w:rPr>
                <m:t>=</m:t>
              </m:r>
              <m:d>
                <m:dPr>
                  <m:ctrlPr>
                    <w:rPr>
                      <w:rFonts w:ascii="Cambria Math" w:hAnsi="Cambria Math"/>
                      <w:i/>
                      <w:vertAlign w:val="superscript"/>
                      <w:lang w:val="fr-FR"/>
                    </w:rPr>
                  </m:ctrlPr>
                </m:dPr>
                <m:e>
                  <m:f>
                    <m:fPr>
                      <m:ctrlPr>
                        <w:rPr>
                          <w:rFonts w:ascii="Cambria Math" w:hAnsi="Cambria Math"/>
                          <w:i/>
                          <w:vertAlign w:val="superscript"/>
                          <w:lang w:val="fr-FR"/>
                        </w:rPr>
                      </m:ctrlPr>
                    </m:fPr>
                    <m:num>
                      <m:sSub>
                        <m:sSubPr>
                          <m:ctrlPr>
                            <w:rPr>
                              <w:rFonts w:ascii="Cambria Math" w:hAnsi="Cambria Math"/>
                              <w:i/>
                              <w:vertAlign w:val="superscript"/>
                              <w:lang w:val="fr-FR"/>
                            </w:rPr>
                          </m:ctrlPr>
                        </m:sSubPr>
                        <m:e>
                          <m:r>
                            <w:rPr>
                              <w:rFonts w:ascii="Cambria Math" w:hAnsi="Cambria Math"/>
                              <w:vertAlign w:val="superscript"/>
                              <w:lang w:val="fr-FR"/>
                            </w:rPr>
                            <m:t>i</m:t>
                          </m:r>
                        </m:e>
                        <m:sub>
                          <m:r>
                            <w:rPr>
                              <w:rFonts w:ascii="Cambria Math" w:hAnsi="Cambria Math"/>
                              <w:vertAlign w:val="superscript"/>
                              <w:lang w:val="fr-FR"/>
                            </w:rPr>
                            <m:t>t</m:t>
                          </m:r>
                        </m:sub>
                      </m:sSub>
                      <m:r>
                        <w:rPr>
                          <w:rFonts w:ascii="Cambria Math" w:hAnsi="Cambria Math"/>
                          <w:vertAlign w:val="superscript"/>
                          <w:lang w:val="fr-FR"/>
                        </w:rPr>
                        <m:t>-</m:t>
                      </m:r>
                      <m:sSubSup>
                        <m:sSubSupPr>
                          <m:ctrlPr>
                            <w:rPr>
                              <w:rFonts w:ascii="Cambria Math" w:hAnsi="Cambria Math"/>
                              <w:i/>
                              <w:vertAlign w:val="superscript"/>
                              <w:lang w:val="fr-FR"/>
                            </w:rPr>
                          </m:ctrlPr>
                        </m:sSubSupPr>
                        <m:e>
                          <m:r>
                            <w:rPr>
                              <w:rFonts w:ascii="Cambria Math" w:hAnsi="Cambria Math"/>
                              <w:vertAlign w:val="superscript"/>
                              <w:lang w:val="fr-FR"/>
                            </w:rPr>
                            <m:t>g</m:t>
                          </m:r>
                        </m:e>
                        <m:sub>
                          <m:r>
                            <w:rPr>
                              <w:rFonts w:ascii="Cambria Math" w:hAnsi="Cambria Math"/>
                              <w:vertAlign w:val="superscript"/>
                              <w:lang w:val="fr-FR"/>
                            </w:rPr>
                            <m:t>t</m:t>
                          </m:r>
                        </m:sub>
                        <m:sup>
                          <m:r>
                            <w:rPr>
                              <w:rFonts w:ascii="Cambria Math" w:hAnsi="Cambria Math"/>
                              <w:vertAlign w:val="superscript"/>
                              <w:lang w:val="fr-FR"/>
                            </w:rPr>
                            <m:t>n</m:t>
                          </m:r>
                        </m:sup>
                      </m:sSubSup>
                    </m:num>
                    <m:den>
                      <m:r>
                        <w:rPr>
                          <w:rFonts w:ascii="Cambria Math" w:hAnsi="Cambria Math"/>
                          <w:vertAlign w:val="superscript"/>
                          <w:lang w:val="fr-FR"/>
                        </w:rPr>
                        <m:t>1+</m:t>
                      </m:r>
                      <m:sSubSup>
                        <m:sSubSupPr>
                          <m:ctrlPr>
                            <w:rPr>
                              <w:rFonts w:ascii="Cambria Math" w:hAnsi="Cambria Math"/>
                              <w:i/>
                              <w:vertAlign w:val="superscript"/>
                              <w:lang w:val="fr-FR"/>
                            </w:rPr>
                          </m:ctrlPr>
                        </m:sSubSupPr>
                        <m:e>
                          <m:r>
                            <w:rPr>
                              <w:rFonts w:ascii="Cambria Math" w:hAnsi="Cambria Math"/>
                              <w:vertAlign w:val="superscript"/>
                              <w:lang w:val="fr-FR"/>
                            </w:rPr>
                            <m:t>g</m:t>
                          </m:r>
                        </m:e>
                        <m:sub>
                          <m:r>
                            <w:rPr>
                              <w:rFonts w:ascii="Cambria Math" w:hAnsi="Cambria Math"/>
                              <w:vertAlign w:val="superscript"/>
                              <w:lang w:val="fr-FR"/>
                            </w:rPr>
                            <m:t>t</m:t>
                          </m:r>
                        </m:sub>
                        <m:sup>
                          <m:r>
                            <w:rPr>
                              <w:rFonts w:ascii="Cambria Math" w:hAnsi="Cambria Math"/>
                              <w:vertAlign w:val="superscript"/>
                              <w:lang w:val="fr-FR"/>
                            </w:rPr>
                            <m:t>n</m:t>
                          </m:r>
                        </m:sup>
                      </m:sSubSup>
                    </m:den>
                  </m:f>
                </m:e>
              </m:d>
              <m:sSub>
                <m:sSubPr>
                  <m:ctrlPr>
                    <w:rPr>
                      <w:rFonts w:ascii="Cambria Math" w:hAnsi="Cambria Math"/>
                      <w:i/>
                      <w:vertAlign w:val="superscript"/>
                      <w:lang w:val="fr-FR"/>
                    </w:rPr>
                  </m:ctrlPr>
                </m:sSubPr>
                <m:e>
                  <m:r>
                    <w:rPr>
                      <w:rFonts w:ascii="Cambria Math" w:hAnsi="Cambria Math"/>
                      <w:vertAlign w:val="superscript"/>
                      <w:lang w:val="fr-FR"/>
                    </w:rPr>
                    <m:t>b</m:t>
                  </m:r>
                </m:e>
                <m:sub>
                  <m:r>
                    <w:rPr>
                      <w:rFonts w:ascii="Cambria Math" w:hAnsi="Cambria Math"/>
                      <w:vertAlign w:val="superscript"/>
                      <w:lang w:val="fr-FR"/>
                    </w:rPr>
                    <m:t>t-1</m:t>
                  </m:r>
                </m:sub>
              </m:sSub>
              <m:r>
                <w:rPr>
                  <w:rFonts w:ascii="Cambria Math" w:hAnsi="Cambria Math"/>
                  <w:vertAlign w:val="superscript"/>
                  <w:lang w:val="fr-FR"/>
                </w:rPr>
                <m:t>+</m:t>
              </m:r>
              <m:sSub>
                <m:sSubPr>
                  <m:ctrlPr>
                    <w:rPr>
                      <w:rFonts w:ascii="Cambria Math" w:hAnsi="Cambria Math"/>
                      <w:i/>
                      <w:vertAlign w:val="superscript"/>
                      <w:lang w:val="fr-FR"/>
                    </w:rPr>
                  </m:ctrlPr>
                </m:sSubPr>
                <m:e>
                  <m:r>
                    <w:rPr>
                      <w:rFonts w:ascii="Cambria Math" w:hAnsi="Cambria Math"/>
                      <w:vertAlign w:val="superscript"/>
                      <w:lang w:val="fr-FR"/>
                    </w:rPr>
                    <m:t>ds</m:t>
                  </m:r>
                </m:e>
                <m:sub>
                  <m:r>
                    <w:rPr>
                      <w:rFonts w:ascii="Cambria Math" w:hAnsi="Cambria Math"/>
                      <w:vertAlign w:val="superscript"/>
                      <w:lang w:val="fr-FR"/>
                    </w:rPr>
                    <m:t>t</m:t>
                  </m:r>
                </m:sub>
              </m:sSub>
              <m:r>
                <w:rPr>
                  <w:rFonts w:ascii="Cambria Math" w:hAnsi="Cambria Math"/>
                  <w:vertAlign w:val="superscript"/>
                  <w:lang w:val="fr-FR"/>
                </w:rPr>
                <m:t>#</m:t>
              </m:r>
              <m:d>
                <m:dPr>
                  <m:ctrlPr>
                    <w:rPr>
                      <w:rFonts w:ascii="Cambria Math" w:hAnsi="Cambria Math"/>
                      <w:i/>
                      <w:vertAlign w:val="superscript"/>
                      <w:lang w:val="fr-FR"/>
                    </w:rPr>
                  </m:ctrlPr>
                </m:dPr>
                <m:e>
                  <m:r>
                    <w:rPr>
                      <w:rFonts w:ascii="Cambria Math" w:hAnsi="Cambria Math"/>
                      <w:vertAlign w:val="superscript"/>
                      <w:lang w:val="fr-FR"/>
                    </w:rPr>
                    <m:t>1</m:t>
                  </m:r>
                </m:e>
              </m:d>
            </m:e>
          </m:eqArr>
          <m:r>
            <w:rPr>
              <w:rFonts w:ascii="Cambria Math" w:hAnsi="Cambria Math"/>
              <w:vertAlign w:val="superscript"/>
              <w:lang w:val="fr-FR"/>
            </w:rPr>
            <m:t xml:space="preserve"> </m:t>
          </m:r>
        </m:oMath>
      </m:oMathPara>
    </w:p>
    <w:p w14:paraId="5689FA9A" w14:textId="77777777" w:rsidR="00887438" w:rsidRPr="00887438" w:rsidRDefault="00887438" w:rsidP="00887438">
      <w:pPr>
        <w:pBdr>
          <w:top w:val="single" w:sz="4" w:space="1" w:color="auto"/>
          <w:left w:val="single" w:sz="4" w:space="4" w:color="auto"/>
          <w:bottom w:val="single" w:sz="4" w:space="1" w:color="auto"/>
          <w:right w:val="single" w:sz="4" w:space="4" w:color="auto"/>
        </w:pBdr>
        <w:rPr>
          <w:lang w:val="fr-FR"/>
        </w:rPr>
      </w:pPr>
    </w:p>
    <w:p w14:paraId="065FB719" w14:textId="77777777" w:rsidR="00887438" w:rsidRDefault="00887438" w:rsidP="00887438">
      <w:pPr>
        <w:pBdr>
          <w:top w:val="single" w:sz="4" w:space="1" w:color="auto"/>
          <w:left w:val="single" w:sz="4" w:space="4" w:color="auto"/>
          <w:bottom w:val="single" w:sz="4" w:space="1" w:color="auto"/>
          <w:right w:val="single" w:sz="4" w:space="4" w:color="auto"/>
        </w:pBdr>
        <w:rPr>
          <w:rFonts w:eastAsiaTheme="minorEastAsia"/>
          <w:lang w:val="fr-FR"/>
        </w:rPr>
      </w:pPr>
      <w:proofErr w:type="gramStart"/>
      <w:r w:rsidRPr="00887438">
        <w:rPr>
          <w:lang w:val="fr-FR"/>
        </w:rPr>
        <w:t>où</w:t>
      </w:r>
      <w:proofErr w:type="gramEnd"/>
      <w:r w:rsidRPr="00887438">
        <w:rPr>
          <w:lang w:val="fr-FR"/>
        </w:rPr>
        <w:t xml:space="preserve"> </w:t>
      </w:r>
      <m:oMath>
        <m:sSubSup>
          <m:sSubSupPr>
            <m:ctrlPr>
              <w:rPr>
                <w:rFonts w:ascii="Cambria Math" w:hAnsi="Cambria Math"/>
                <w:i/>
                <w:lang w:val="fr-FR"/>
              </w:rPr>
            </m:ctrlPr>
          </m:sSubSupPr>
          <m:e>
            <m:r>
              <w:rPr>
                <w:rFonts w:ascii="Cambria Math" w:hAnsi="Cambria Math"/>
                <w:lang w:val="fr-FR"/>
              </w:rPr>
              <m:t>g</m:t>
            </m:r>
          </m:e>
          <m:sub>
            <m:r>
              <w:rPr>
                <w:rFonts w:ascii="Cambria Math" w:hAnsi="Cambria Math"/>
                <w:lang w:val="fr-FR"/>
              </w:rPr>
              <m:t>t</m:t>
            </m:r>
          </m:sub>
          <m:sup>
            <m:r>
              <w:rPr>
                <w:rFonts w:ascii="Cambria Math" w:hAnsi="Cambria Math"/>
                <w:lang w:val="fr-FR"/>
              </w:rPr>
              <m:t>n</m:t>
            </m:r>
          </m:sup>
        </m:sSubSup>
      </m:oMath>
      <w:r w:rsidRPr="00887438">
        <w:rPr>
          <w:rFonts w:eastAsiaTheme="minorEastAsia"/>
          <w:lang w:val="fr-FR"/>
        </w:rPr>
        <w:t xml:space="preserve"> désigne le taux de croissance nominale du PIB, et </w:t>
      </w:r>
      <m:oMath>
        <m:sSub>
          <m:sSubPr>
            <m:ctrlPr>
              <w:rPr>
                <w:rFonts w:ascii="Cambria Math" w:hAnsi="Cambria Math"/>
                <w:i/>
                <w:vertAlign w:val="superscript"/>
                <w:lang w:val="fr-FR"/>
              </w:rPr>
            </m:ctrlPr>
          </m:sSubPr>
          <m:e>
            <m:r>
              <w:rPr>
                <w:rFonts w:ascii="Cambria Math" w:hAnsi="Cambria Math"/>
                <w:vertAlign w:val="superscript"/>
                <w:lang w:val="fr-FR"/>
              </w:rPr>
              <m:t>ds</m:t>
            </m:r>
          </m:e>
          <m:sub>
            <m:r>
              <w:rPr>
                <w:rFonts w:ascii="Cambria Math" w:hAnsi="Cambria Math"/>
                <w:vertAlign w:val="superscript"/>
                <w:lang w:val="fr-FR"/>
              </w:rPr>
              <m:t>t</m:t>
            </m:r>
          </m:sub>
        </m:sSub>
      </m:oMath>
      <w:r w:rsidRPr="00887438">
        <w:rPr>
          <w:rFonts w:eastAsiaTheme="minorEastAsia"/>
          <w:lang w:val="fr-FR"/>
        </w:rPr>
        <w:t xml:space="preserve">  </w:t>
      </w:r>
      <w:r>
        <w:rPr>
          <w:rFonts w:eastAsiaTheme="minorEastAsia"/>
          <w:lang w:val="fr-FR"/>
        </w:rPr>
        <w:t>est le ratio de la somme du d</w:t>
      </w:r>
      <w:r w:rsidRPr="00887438">
        <w:rPr>
          <w:rFonts w:eastAsiaTheme="minorEastAsia"/>
          <w:lang w:val="fr-FR"/>
        </w:rPr>
        <w:t xml:space="preserve"> déficit primaire et de l’ajustement stock-flux</w:t>
      </w:r>
      <w:r>
        <w:rPr>
          <w:rFonts w:eastAsiaTheme="minorEastAsia"/>
          <w:lang w:val="fr-FR"/>
        </w:rPr>
        <w:t xml:space="preserve">, rapporte </w:t>
      </w:r>
      <w:r w:rsidRPr="00887438">
        <w:rPr>
          <w:rFonts w:eastAsiaTheme="minorEastAsia"/>
          <w:lang w:val="fr-FR"/>
        </w:rPr>
        <w:t xml:space="preserve">au PIB. </w:t>
      </w:r>
      <w:r>
        <w:rPr>
          <w:rFonts w:eastAsiaTheme="minorEastAsia"/>
          <w:lang w:val="fr-FR"/>
        </w:rPr>
        <w:t>La figure 3 montre séparément le premier terme, dit terme « r moins g », et le second terme de cette équation.</w:t>
      </w:r>
    </w:p>
    <w:p w14:paraId="0CB941F4" w14:textId="77777777" w:rsidR="00887438" w:rsidRDefault="00887438" w:rsidP="00B41C9E">
      <w:pPr>
        <w:keepNext/>
        <w:rPr>
          <w:i/>
          <w:iCs/>
          <w:sz w:val="20"/>
          <w:szCs w:val="20"/>
          <w:lang w:val="fr-FR"/>
        </w:rPr>
      </w:pPr>
    </w:p>
    <w:p w14:paraId="475FF1FA" w14:textId="77777777" w:rsidR="00887438" w:rsidRDefault="00887438">
      <w:pPr>
        <w:rPr>
          <w:i/>
          <w:iCs/>
          <w:sz w:val="20"/>
          <w:szCs w:val="20"/>
          <w:lang w:val="fr-FR"/>
        </w:rPr>
      </w:pPr>
    </w:p>
    <w:p w14:paraId="29D6E193" w14:textId="6E3E6802" w:rsidR="00887438" w:rsidRDefault="00887438" w:rsidP="00887438">
      <w:pPr>
        <w:rPr>
          <w:rFonts w:eastAsiaTheme="minorEastAsia"/>
          <w:lang w:val="fr-FR"/>
        </w:rPr>
      </w:pPr>
      <w:r>
        <w:rPr>
          <w:rFonts w:eastAsiaTheme="minorEastAsia"/>
          <w:lang w:val="fr-FR"/>
        </w:rPr>
        <w:t xml:space="preserve">Une façon de visualiser ce résultat est de calculer la dynamique du ratio de dette sur PIB si l’on cumule simplement le ratio de déficit primaires sur le PIB, de sorte que le terme </w:t>
      </w:r>
      <m:oMath>
        <m:r>
          <w:rPr>
            <w:rFonts w:ascii="Cambria Math" w:hAnsi="Cambria Math"/>
            <w:lang w:val="fr-FR"/>
          </w:rPr>
          <m:t>r-g</m:t>
        </m:r>
      </m:oMath>
      <w:r>
        <w:rPr>
          <w:rFonts w:eastAsiaTheme="minorEastAsia"/>
          <w:lang w:val="fr-FR"/>
        </w:rPr>
        <w:t xml:space="preserve"> est suppose égal à zéro période par période. La figure 4 fait ce calcul à partir de l’année 1970 : elle montre que les forts taux d’inflation des années 1980 ont aidé la trajectoire de la dette sur PIB relativement à cette trajectoire contrefactuelle, et que les faibles taux de croissance dans les années 2000 et pendant les deux crises récentes ont ensuite inversé cet écart, de sorte que le niveau actuel de dette publique s’explique entièrement par l’accumulation des déficits primaires passés.</w:t>
      </w:r>
    </w:p>
    <w:p w14:paraId="060DE36C" w14:textId="77777777" w:rsidR="00887438" w:rsidRDefault="00887438" w:rsidP="00887438">
      <w:pPr>
        <w:rPr>
          <w:rFonts w:eastAsiaTheme="minorEastAsia"/>
          <w:lang w:val="fr-FR"/>
        </w:rPr>
      </w:pPr>
    </w:p>
    <w:p w14:paraId="31758549" w14:textId="5017B9B5" w:rsidR="00DF24F8" w:rsidRDefault="00DF24F8" w:rsidP="00887438">
      <w:pPr>
        <w:rPr>
          <w:rFonts w:eastAsiaTheme="minorEastAsia"/>
          <w:lang w:val="fr-FR"/>
        </w:rPr>
      </w:pPr>
      <w:r>
        <w:rPr>
          <w:rFonts w:eastAsiaTheme="minorEastAsia"/>
          <w:lang w:val="fr-FR"/>
        </w:rPr>
        <w:t xml:space="preserve">Ce constat reflète une réalité économique importante, qui est qu’il est difficile de diminuer la dette publique en comptant simplement sur la croissance ou sur des taux d’intérêt de financement avantageux. Au niveau actuel de dette de 110% de PIB, un point de croissance supplémentaire, fait chuter la dette de 1.1% de PIB seulement, et cet effet s’annule si le taux d’intérêt est 1% plus élevé. Or, historiquement, les taux d’intérêt ont eu tendance à chuter en même temps que la croissance. La théorie économique explique pourquoi. D’une part, les taux d’intérêt nominaux augmentent avec les anticipations d’inflation. D’autre part, les taux d’intérêts réels ont tendance à augmenter quand la croissance réelle anticipée est plus élevée, car les agents économiques veulent alors emprunter plus. </w:t>
      </w:r>
      <w:r w:rsidR="00822691">
        <w:rPr>
          <w:rFonts w:eastAsiaTheme="minorEastAsia"/>
          <w:lang w:val="fr-FR"/>
        </w:rPr>
        <w:t xml:space="preserve">En pratique, donc, la théorie économique explique pourquoi le terme </w:t>
      </w:r>
      <m:oMath>
        <m:r>
          <w:rPr>
            <w:rFonts w:ascii="Cambria Math" w:hAnsi="Cambria Math"/>
            <w:lang w:val="fr-FR"/>
          </w:rPr>
          <m:t>r-</m:t>
        </m:r>
        <m:r>
          <w:rPr>
            <w:rFonts w:ascii="Cambria Math" w:hAnsi="Cambria Math"/>
            <w:lang w:val="fr-FR"/>
          </w:rPr>
          <w:lastRenderedPageBreak/>
          <m:t>g</m:t>
        </m:r>
      </m:oMath>
      <w:r w:rsidR="00822691">
        <w:rPr>
          <w:rFonts w:eastAsiaTheme="minorEastAsia"/>
          <w:lang w:val="fr-FR"/>
        </w:rPr>
        <w:t xml:space="preserve"> </w:t>
      </w:r>
      <w:proofErr w:type="spellStart"/>
      <w:r w:rsidR="00822691">
        <w:rPr>
          <w:rFonts w:eastAsiaTheme="minorEastAsia"/>
          <w:lang w:val="fr-FR"/>
        </w:rPr>
        <w:t>à</w:t>
      </w:r>
      <w:proofErr w:type="spellEnd"/>
      <w:r w:rsidR="00822691">
        <w:rPr>
          <w:rFonts w:eastAsiaTheme="minorEastAsia"/>
          <w:lang w:val="fr-FR"/>
        </w:rPr>
        <w:t xml:space="preserve"> été proche de zéro historiquement, et suggère que cette tendance risque de se prolonger à l’avenir.</w:t>
      </w:r>
      <w:r w:rsidR="00822691">
        <w:rPr>
          <w:rStyle w:val="FootnoteReference"/>
          <w:rFonts w:eastAsiaTheme="minorEastAsia"/>
          <w:lang w:val="fr-FR"/>
        </w:rPr>
        <w:footnoteReference w:id="1"/>
      </w:r>
      <w:r w:rsidR="00822691">
        <w:rPr>
          <w:rFonts w:eastAsiaTheme="minorEastAsia"/>
          <w:lang w:val="fr-FR"/>
        </w:rPr>
        <w:t xml:space="preserve"> </w:t>
      </w:r>
    </w:p>
    <w:p w14:paraId="4EB2C446" w14:textId="77777777" w:rsidR="00DF24F8" w:rsidRDefault="00DF24F8" w:rsidP="00887438">
      <w:pPr>
        <w:rPr>
          <w:rFonts w:eastAsiaTheme="minorEastAsia"/>
          <w:lang w:val="fr-FR"/>
        </w:rPr>
      </w:pPr>
    </w:p>
    <w:p w14:paraId="1A9CA4B8" w14:textId="6BFF4E2A" w:rsidR="00887438" w:rsidRDefault="00DF24F8" w:rsidP="00887438">
      <w:pPr>
        <w:rPr>
          <w:rFonts w:eastAsiaTheme="minorEastAsia"/>
          <w:lang w:val="fr-FR"/>
        </w:rPr>
      </w:pPr>
      <w:r>
        <w:rPr>
          <w:rFonts w:eastAsiaTheme="minorEastAsia"/>
          <w:lang w:val="fr-FR"/>
        </w:rPr>
        <w:t xml:space="preserve">La théorie économique suggère </w:t>
      </w:r>
      <w:r w:rsidR="00822691">
        <w:rPr>
          <w:rFonts w:eastAsiaTheme="minorEastAsia"/>
          <w:lang w:val="fr-FR"/>
        </w:rPr>
        <w:t>ainsi qu</w:t>
      </w:r>
      <w:r w:rsidR="00E768F4">
        <w:rPr>
          <w:rFonts w:eastAsiaTheme="minorEastAsia"/>
          <w:lang w:val="fr-FR"/>
        </w:rPr>
        <w:t xml:space="preserve">’il est raisonnable de prédire que le terme </w:t>
      </w:r>
      <m:oMath>
        <m:r>
          <w:rPr>
            <w:rFonts w:ascii="Cambria Math" w:hAnsi="Cambria Math"/>
            <w:lang w:val="fr-FR"/>
          </w:rPr>
          <m:t>r-g</m:t>
        </m:r>
      </m:oMath>
      <w:r w:rsidR="00E768F4">
        <w:rPr>
          <w:rFonts w:eastAsiaTheme="minorEastAsia"/>
          <w:lang w:val="fr-FR"/>
        </w:rPr>
        <w:t xml:space="preserve"> sera proche de zéro à l’avenir</w:t>
      </w:r>
      <w:r w:rsidR="00887438">
        <w:rPr>
          <w:rFonts w:eastAsiaTheme="minorEastAsia"/>
          <w:lang w:val="fr-FR"/>
        </w:rPr>
        <w:t xml:space="preserve">. </w:t>
      </w:r>
      <w:r w:rsidR="00E768F4">
        <w:rPr>
          <w:rFonts w:eastAsiaTheme="minorEastAsia"/>
          <w:lang w:val="fr-FR"/>
        </w:rPr>
        <w:t xml:space="preserve">En faisant cette hypothèse, on voit que, </w:t>
      </w:r>
      <w:r w:rsidR="00887438">
        <w:rPr>
          <w:rFonts w:eastAsiaTheme="minorEastAsia"/>
          <w:lang w:val="fr-FR"/>
        </w:rPr>
        <w:t>pour stabiliser le niveau de dette à son niveau actuel de 110% de PIB, il faut que le gouvernement ramène son déficit primaire à 0% de PIB ; pour diminuer le niveau de dette de façon soutenable</w:t>
      </w:r>
      <w:r w:rsidR="00A75854">
        <w:rPr>
          <w:rFonts w:eastAsiaTheme="minorEastAsia"/>
          <w:lang w:val="fr-FR"/>
        </w:rPr>
        <w:t xml:space="preserve"> vers l’engagement européen de la France, qui est de 60%</w:t>
      </w:r>
      <w:r w:rsidR="00887438">
        <w:rPr>
          <w:rFonts w:eastAsiaTheme="minorEastAsia"/>
          <w:lang w:val="fr-FR"/>
        </w:rPr>
        <w:t xml:space="preserve">, il faudra dégager des surplus primaires.  </w:t>
      </w:r>
    </w:p>
    <w:p w14:paraId="7F3556A0" w14:textId="77777777" w:rsidR="00887438" w:rsidRDefault="00887438" w:rsidP="00887438">
      <w:pPr>
        <w:rPr>
          <w:rFonts w:eastAsiaTheme="minorEastAsia"/>
          <w:lang w:val="fr-FR"/>
        </w:rPr>
      </w:pPr>
    </w:p>
    <w:p w14:paraId="353A0739" w14:textId="254D659B" w:rsidR="00887438" w:rsidRPr="00887438" w:rsidRDefault="00887438" w:rsidP="00887438">
      <w:pPr>
        <w:rPr>
          <w:rFonts w:eastAsiaTheme="minorEastAsia"/>
          <w:b/>
          <w:bCs/>
          <w:lang w:val="fr-FR"/>
        </w:rPr>
      </w:pPr>
      <w:r w:rsidRPr="00887438">
        <w:rPr>
          <w:rFonts w:eastAsiaTheme="minorEastAsia"/>
          <w:b/>
          <w:bCs/>
          <w:lang w:val="fr-FR"/>
        </w:rPr>
        <w:t>Constat</w:t>
      </w:r>
      <w:r>
        <w:rPr>
          <w:rFonts w:eastAsiaTheme="minorEastAsia"/>
          <w:b/>
          <w:bCs/>
          <w:lang w:val="fr-FR"/>
        </w:rPr>
        <w:t xml:space="preserve"> : </w:t>
      </w:r>
      <w:r w:rsidRPr="00887438">
        <w:rPr>
          <w:rFonts w:eastAsiaTheme="minorEastAsia"/>
          <w:b/>
          <w:bCs/>
          <w:lang w:val="fr-FR"/>
        </w:rPr>
        <w:t>pour stabiliser le niveau de dette à son niveau actuel, il faut que le gouvernement ramène son déficit primaire à 0%</w:t>
      </w:r>
      <w:r>
        <w:rPr>
          <w:rFonts w:eastAsiaTheme="minorEastAsia"/>
          <w:b/>
          <w:bCs/>
          <w:lang w:val="fr-FR"/>
        </w:rPr>
        <w:t>,</w:t>
      </w:r>
      <w:r w:rsidRPr="00887438">
        <w:rPr>
          <w:rFonts w:eastAsiaTheme="minorEastAsia"/>
          <w:b/>
          <w:bCs/>
          <w:lang w:val="fr-FR"/>
        </w:rPr>
        <w:t xml:space="preserve"> pour diminuer le niveau de dette de façon soutenable, il fau</w:t>
      </w:r>
      <w:r>
        <w:rPr>
          <w:rFonts w:eastAsiaTheme="minorEastAsia"/>
          <w:b/>
          <w:bCs/>
          <w:lang w:val="fr-FR"/>
        </w:rPr>
        <w:t>dra</w:t>
      </w:r>
      <w:r w:rsidRPr="00887438">
        <w:rPr>
          <w:rFonts w:eastAsiaTheme="minorEastAsia"/>
          <w:b/>
          <w:bCs/>
          <w:lang w:val="fr-FR"/>
        </w:rPr>
        <w:t xml:space="preserve"> dégager des surplus primaires</w:t>
      </w:r>
      <w:r w:rsidR="00A75854">
        <w:rPr>
          <w:rFonts w:eastAsiaTheme="minorEastAsia"/>
          <w:b/>
          <w:bCs/>
          <w:lang w:val="fr-FR"/>
        </w:rPr>
        <w:t>.</w:t>
      </w:r>
    </w:p>
    <w:p w14:paraId="70F9C288" w14:textId="77777777" w:rsidR="00A75854" w:rsidRDefault="00A75854" w:rsidP="00887438">
      <w:pPr>
        <w:rPr>
          <w:rFonts w:eastAsiaTheme="minorEastAsia"/>
          <w:lang w:val="fr-FR"/>
        </w:rPr>
      </w:pPr>
    </w:p>
    <w:p w14:paraId="2289158E" w14:textId="77777777" w:rsidR="00E768F4" w:rsidRDefault="00E768F4" w:rsidP="00E768F4">
      <w:pPr>
        <w:rPr>
          <w:rFonts w:eastAsiaTheme="minorEastAsia"/>
          <w:lang w:val="fr-FR"/>
        </w:rPr>
      </w:pPr>
      <w:r>
        <w:rPr>
          <w:rFonts w:eastAsiaTheme="minorEastAsia"/>
          <w:lang w:val="fr-FR"/>
        </w:rPr>
        <w:t xml:space="preserve">Il est à noter que cet objectif de déficit primaire de 0% n’est pas nécessairement plus contraignant que l’engagement européen d’un déficit public inférieur à 3%, même s’il a économiquement plus de sens. En effet, le déficit public est la somme du déficit primaire et du ratio de la charge d’intérêts sur le PIB. Avec un taux d’intérêt de 3% et un ratio de dette sur PIB de 100%, le déficit public sera donc à 3% quand le déficit primaire atteindra 0%. Dans le court terme, la France bénéficie d’un effet d’aubaine lié à ses emprunts à des taux exceptionnellement faibles au cours des dix dernières années, et donc la cible de déficit primaire à 0% est effectivement plus contraignante que la cible de déficit à 3%. Cependant, nous sommes conscients des difficultés liées à une consolidation fiscale rapide, et préconisons donc cette cible pour le moyen terme, au-delà de 2028. Nous traiterons séparément de la transition de court terme à la suite de cette note. </w:t>
      </w:r>
    </w:p>
    <w:p w14:paraId="1FFC0644" w14:textId="77777777" w:rsidR="00E768F4" w:rsidRDefault="00E768F4" w:rsidP="00887438">
      <w:pPr>
        <w:rPr>
          <w:rFonts w:eastAsiaTheme="minorEastAsia"/>
          <w:lang w:val="fr-FR"/>
        </w:rPr>
      </w:pPr>
    </w:p>
    <w:p w14:paraId="46D2E873" w14:textId="37A91160" w:rsidR="00887438" w:rsidRDefault="00887438" w:rsidP="00887438">
      <w:pPr>
        <w:rPr>
          <w:rFonts w:eastAsiaTheme="minorEastAsia"/>
          <w:lang w:val="fr-FR"/>
        </w:rPr>
      </w:pPr>
    </w:p>
    <w:p w14:paraId="50A5CB55" w14:textId="77926CAC" w:rsidR="00887438" w:rsidRDefault="00887438">
      <w:pPr>
        <w:rPr>
          <w:i/>
          <w:iCs/>
          <w:sz w:val="20"/>
          <w:szCs w:val="20"/>
          <w:lang w:val="fr-FR"/>
        </w:rPr>
      </w:pPr>
      <w:r>
        <w:rPr>
          <w:i/>
          <w:iCs/>
          <w:sz w:val="20"/>
          <w:szCs w:val="20"/>
          <w:lang w:val="fr-FR"/>
        </w:rPr>
        <w:br w:type="page"/>
      </w:r>
    </w:p>
    <w:p w14:paraId="762CC19E" w14:textId="72D42BEB" w:rsidR="00887438" w:rsidRPr="00887438" w:rsidRDefault="00887438" w:rsidP="00B41C9E">
      <w:pPr>
        <w:keepNext/>
        <w:rPr>
          <w:i/>
          <w:iCs/>
          <w:lang w:val="fr-FR"/>
        </w:rPr>
      </w:pPr>
      <w:r w:rsidRPr="00887438">
        <w:rPr>
          <w:i/>
          <w:iCs/>
          <w:sz w:val="20"/>
          <w:szCs w:val="20"/>
          <w:lang w:val="fr-FR"/>
        </w:rPr>
        <w:lastRenderedPageBreak/>
        <w:t xml:space="preserve">Figure </w:t>
      </w:r>
      <w:proofErr w:type="gramStart"/>
      <w:r w:rsidRPr="00887438">
        <w:rPr>
          <w:i/>
          <w:iCs/>
          <w:sz w:val="20"/>
          <w:szCs w:val="20"/>
          <w:lang w:val="fr-FR"/>
        </w:rPr>
        <w:t>3  Décomposition</w:t>
      </w:r>
      <w:proofErr w:type="gramEnd"/>
      <w:r w:rsidRPr="00887438">
        <w:rPr>
          <w:i/>
          <w:iCs/>
          <w:sz w:val="20"/>
          <w:szCs w:val="20"/>
          <w:lang w:val="fr-FR"/>
        </w:rPr>
        <w:t xml:space="preserve"> économique de la variation de dette en % de PIB, 1960-2023</w:t>
      </w:r>
    </w:p>
    <w:p w14:paraId="1752E89F" w14:textId="77777777" w:rsidR="00B41C9E" w:rsidRDefault="00B41C9E">
      <w:pPr>
        <w:rPr>
          <w:lang w:val="fr-FR"/>
        </w:rPr>
      </w:pPr>
    </w:p>
    <w:p w14:paraId="7E40C391" w14:textId="62332E97" w:rsidR="00887438" w:rsidRDefault="00887438">
      <w:pPr>
        <w:rPr>
          <w:lang w:val="fr-FR"/>
        </w:rPr>
      </w:pPr>
      <w:r>
        <w:rPr>
          <w:noProof/>
        </w:rPr>
        <w:drawing>
          <wp:inline distT="0" distB="0" distL="0" distR="0" wp14:anchorId="608F5329" wp14:editId="7943868B">
            <wp:extent cx="4787900" cy="3365500"/>
            <wp:effectExtent l="0" t="0" r="12700" b="12700"/>
            <wp:docPr id="2068616270" name="Chart 1">
              <a:extLst xmlns:a="http://schemas.openxmlformats.org/drawingml/2006/main">
                <a:ext uri="{FF2B5EF4-FFF2-40B4-BE49-F238E27FC236}">
                  <a16:creationId xmlns:a16="http://schemas.microsoft.com/office/drawing/2014/main" id="{F535F211-451E-810C-07CF-ADBD088B1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E8B844" w14:textId="77777777" w:rsidR="00887438" w:rsidRDefault="00887438">
      <w:pPr>
        <w:rPr>
          <w:lang w:val="fr-FR"/>
        </w:rPr>
      </w:pPr>
    </w:p>
    <w:p w14:paraId="0EF77268" w14:textId="640150C9" w:rsidR="00887438" w:rsidRDefault="00887438">
      <w:pPr>
        <w:rPr>
          <w:sz w:val="20"/>
          <w:szCs w:val="20"/>
          <w:lang w:val="fr-FR"/>
        </w:rPr>
      </w:pPr>
      <w:r w:rsidRPr="00887438">
        <w:rPr>
          <w:sz w:val="20"/>
          <w:szCs w:val="20"/>
          <w:lang w:val="fr-FR"/>
        </w:rPr>
        <w:t xml:space="preserve">Figure </w:t>
      </w:r>
      <w:proofErr w:type="gramStart"/>
      <w:r>
        <w:rPr>
          <w:sz w:val="20"/>
          <w:szCs w:val="20"/>
          <w:lang w:val="fr-FR"/>
        </w:rPr>
        <w:t>4</w:t>
      </w:r>
      <w:r w:rsidRPr="00887438">
        <w:rPr>
          <w:sz w:val="20"/>
          <w:szCs w:val="20"/>
          <w:lang w:val="fr-FR"/>
        </w:rPr>
        <w:t xml:space="preserve">  </w:t>
      </w:r>
      <w:r>
        <w:rPr>
          <w:sz w:val="20"/>
          <w:szCs w:val="20"/>
          <w:lang w:val="fr-FR"/>
        </w:rPr>
        <w:t>Dette</w:t>
      </w:r>
      <w:proofErr w:type="gramEnd"/>
      <w:r>
        <w:rPr>
          <w:sz w:val="20"/>
          <w:szCs w:val="20"/>
          <w:lang w:val="fr-FR"/>
        </w:rPr>
        <w:t xml:space="preserve"> et trajectoire contrefactuelle avec r-g=0 depuis 1970</w:t>
      </w:r>
    </w:p>
    <w:p w14:paraId="2621F408" w14:textId="77777777" w:rsidR="00887438" w:rsidRDefault="00887438">
      <w:pPr>
        <w:rPr>
          <w:lang w:val="fr-FR"/>
        </w:rPr>
      </w:pPr>
    </w:p>
    <w:p w14:paraId="03C42978" w14:textId="1777987E" w:rsidR="00887438" w:rsidRDefault="00887438">
      <w:pPr>
        <w:rPr>
          <w:lang w:val="fr-FR"/>
        </w:rPr>
      </w:pPr>
      <w:r>
        <w:rPr>
          <w:noProof/>
        </w:rPr>
        <w:drawing>
          <wp:inline distT="0" distB="0" distL="0" distR="0" wp14:anchorId="6D884BB2" wp14:editId="212913E7">
            <wp:extent cx="4699000" cy="3124200"/>
            <wp:effectExtent l="0" t="0" r="12700" b="12700"/>
            <wp:docPr id="750261889" name="Chart 1">
              <a:extLst xmlns:a="http://schemas.openxmlformats.org/drawingml/2006/main">
                <a:ext uri="{FF2B5EF4-FFF2-40B4-BE49-F238E27FC236}">
                  <a16:creationId xmlns:a16="http://schemas.microsoft.com/office/drawing/2014/main" id="{D5E0C4CE-C951-4651-B531-65927ACBEE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1808E" w14:textId="10E6116C" w:rsidR="00887438" w:rsidRPr="00A75854" w:rsidRDefault="00887438">
      <w:pPr>
        <w:rPr>
          <w:sz w:val="20"/>
          <w:szCs w:val="20"/>
          <w:lang w:val="fr-FR"/>
        </w:rPr>
      </w:pPr>
      <w:r w:rsidRPr="00A75854">
        <w:rPr>
          <w:sz w:val="20"/>
          <w:szCs w:val="20"/>
          <w:lang w:val="fr-FR"/>
        </w:rPr>
        <w:t xml:space="preserve">Note : la ligne pointillée montre la trajectoire contrefactuelle de la dette  </w:t>
      </w:r>
      <m:oMath>
        <m:sSub>
          <m:sSubPr>
            <m:ctrlPr>
              <w:rPr>
                <w:rFonts w:ascii="Cambria Math" w:hAnsi="Cambria Math"/>
                <w:i/>
                <w:sz w:val="20"/>
                <w:szCs w:val="20"/>
                <w:vertAlign w:val="superscript"/>
                <w:lang w:val="fr-FR"/>
              </w:rPr>
            </m:ctrlPr>
          </m:sSubPr>
          <m:e>
            <m:r>
              <w:rPr>
                <w:rFonts w:ascii="Cambria Math" w:hAnsi="Cambria Math"/>
                <w:sz w:val="20"/>
                <w:szCs w:val="20"/>
                <w:vertAlign w:val="superscript"/>
                <w:lang w:val="fr-FR"/>
              </w:rPr>
              <m:t>b</m:t>
            </m:r>
          </m:e>
          <m:sub>
            <m:r>
              <w:rPr>
                <w:rFonts w:ascii="Cambria Math" w:hAnsi="Cambria Math"/>
                <w:sz w:val="20"/>
                <w:szCs w:val="20"/>
                <w:vertAlign w:val="superscript"/>
                <w:lang w:val="fr-FR"/>
              </w:rPr>
              <m:t>t</m:t>
            </m:r>
          </m:sub>
        </m:sSub>
      </m:oMath>
      <w:r w:rsidRPr="00A75854">
        <w:rPr>
          <w:rFonts w:eastAsiaTheme="minorEastAsia"/>
          <w:sz w:val="20"/>
          <w:szCs w:val="20"/>
          <w:vertAlign w:val="superscript"/>
          <w:lang w:val="fr-FR"/>
        </w:rPr>
        <w:t xml:space="preserve"> </w:t>
      </w:r>
      <w:r w:rsidRPr="00A75854">
        <w:rPr>
          <w:sz w:val="20"/>
          <w:szCs w:val="20"/>
          <w:lang w:val="fr-FR"/>
        </w:rPr>
        <w:t xml:space="preserve">résultat simplement de l’accumulation des déficits primaires et ajustements stock-flux historiques  </w:t>
      </w:r>
      <m:oMath>
        <m:sSub>
          <m:sSubPr>
            <m:ctrlPr>
              <w:rPr>
                <w:rFonts w:ascii="Cambria Math" w:hAnsi="Cambria Math"/>
                <w:i/>
                <w:sz w:val="20"/>
                <w:szCs w:val="20"/>
                <w:vertAlign w:val="superscript"/>
                <w:lang w:val="fr-FR"/>
              </w:rPr>
            </m:ctrlPr>
          </m:sSubPr>
          <m:e>
            <m:r>
              <w:rPr>
                <w:rFonts w:ascii="Cambria Math" w:hAnsi="Cambria Math"/>
                <w:sz w:val="20"/>
                <w:szCs w:val="20"/>
                <w:vertAlign w:val="superscript"/>
                <w:lang w:val="fr-FR"/>
              </w:rPr>
              <m:t>ds</m:t>
            </m:r>
          </m:e>
          <m:sub>
            <m:r>
              <w:rPr>
                <w:rFonts w:ascii="Cambria Math" w:hAnsi="Cambria Math"/>
                <w:sz w:val="20"/>
                <w:szCs w:val="20"/>
                <w:vertAlign w:val="superscript"/>
                <w:lang w:val="fr-FR"/>
              </w:rPr>
              <m:t>t</m:t>
            </m:r>
          </m:sub>
        </m:sSub>
      </m:oMath>
      <w:r w:rsidRPr="00A75854">
        <w:rPr>
          <w:sz w:val="20"/>
          <w:szCs w:val="20"/>
          <w:lang w:val="fr-FR"/>
        </w:rPr>
        <w:t>, donc faisant l’hypothèse contrefactuelle que dans l’équation</w:t>
      </w:r>
      <w:r w:rsidR="00DF24F8">
        <w:rPr>
          <w:sz w:val="20"/>
          <w:szCs w:val="20"/>
          <w:lang w:val="fr-FR"/>
        </w:rPr>
        <w:t xml:space="preserve"> (1), on a </w:t>
      </w:r>
      <w:r w:rsidR="00DF24F8">
        <w:rPr>
          <w:sz w:val="20"/>
          <w:szCs w:val="20"/>
          <w:lang w:val="fr-FR"/>
        </w:rPr>
        <w:t xml:space="preserve"> </w:t>
      </w:r>
      <m:oMath>
        <m:sSub>
          <m:sSubPr>
            <m:ctrlPr>
              <w:rPr>
                <w:rFonts w:ascii="Cambria Math" w:hAnsi="Cambria Math"/>
                <w:i/>
                <w:vertAlign w:val="superscript"/>
                <w:lang w:val="fr-FR"/>
              </w:rPr>
            </m:ctrlPr>
          </m:sSubPr>
          <m:e>
            <m:r>
              <w:rPr>
                <w:rFonts w:ascii="Cambria Math" w:hAnsi="Cambria Math"/>
                <w:vertAlign w:val="superscript"/>
                <w:lang w:val="fr-FR"/>
              </w:rPr>
              <m:t>i</m:t>
            </m:r>
          </m:e>
          <m:sub>
            <m:r>
              <w:rPr>
                <w:rFonts w:ascii="Cambria Math" w:hAnsi="Cambria Math"/>
                <w:vertAlign w:val="superscript"/>
                <w:lang w:val="fr-FR"/>
              </w:rPr>
              <m:t>t</m:t>
            </m:r>
          </m:sub>
        </m:sSub>
        <m:r>
          <w:rPr>
            <w:rFonts w:ascii="Cambria Math" w:hAnsi="Cambria Math"/>
            <w:vertAlign w:val="superscript"/>
            <w:lang w:val="fr-FR"/>
          </w:rPr>
          <m:t>=</m:t>
        </m:r>
        <m:sSubSup>
          <m:sSubSupPr>
            <m:ctrlPr>
              <w:rPr>
                <w:rFonts w:ascii="Cambria Math" w:hAnsi="Cambria Math"/>
                <w:i/>
                <w:vertAlign w:val="superscript"/>
                <w:lang w:val="fr-FR"/>
              </w:rPr>
            </m:ctrlPr>
          </m:sSubSupPr>
          <m:e>
            <m:r>
              <w:rPr>
                <w:rFonts w:ascii="Cambria Math" w:hAnsi="Cambria Math"/>
                <w:vertAlign w:val="superscript"/>
                <w:lang w:val="fr-FR"/>
              </w:rPr>
              <m:t>g</m:t>
            </m:r>
          </m:e>
          <m:sub>
            <m:r>
              <w:rPr>
                <w:rFonts w:ascii="Cambria Math" w:hAnsi="Cambria Math"/>
                <w:vertAlign w:val="superscript"/>
                <w:lang w:val="fr-FR"/>
              </w:rPr>
              <m:t>t</m:t>
            </m:r>
          </m:sub>
          <m:sup>
            <m:r>
              <w:rPr>
                <w:rFonts w:ascii="Cambria Math" w:hAnsi="Cambria Math"/>
                <w:vertAlign w:val="superscript"/>
                <w:lang w:val="fr-FR"/>
              </w:rPr>
              <m:t>n</m:t>
            </m:r>
          </m:sup>
        </m:sSubSup>
      </m:oMath>
      <w:r w:rsidR="00DF24F8">
        <w:rPr>
          <w:rFonts w:eastAsiaTheme="minorEastAsia"/>
          <w:vertAlign w:val="superscript"/>
          <w:lang w:val="fr-FR"/>
        </w:rPr>
        <w:t xml:space="preserve">  </w:t>
      </w:r>
      <w:r w:rsidR="00DF24F8">
        <w:rPr>
          <w:sz w:val="20"/>
          <w:szCs w:val="20"/>
          <w:lang w:val="fr-FR"/>
        </w:rPr>
        <w:t xml:space="preserve"> donc le premier terme est nul. </w:t>
      </w:r>
    </w:p>
    <w:p w14:paraId="18583E3E" w14:textId="0C589742" w:rsidR="00A75854" w:rsidRDefault="00A75854">
      <w:pPr>
        <w:rPr>
          <w:lang w:val="fr-FR"/>
        </w:rPr>
      </w:pPr>
      <w:r>
        <w:rPr>
          <w:lang w:val="fr-FR"/>
        </w:rPr>
        <w:br w:type="page"/>
      </w:r>
    </w:p>
    <w:p w14:paraId="792C4887" w14:textId="77777777" w:rsidR="00A75854" w:rsidRPr="00887438" w:rsidRDefault="00A75854">
      <w:pPr>
        <w:rPr>
          <w:lang w:val="fr-FR"/>
        </w:rPr>
      </w:pPr>
    </w:p>
    <w:p w14:paraId="2B7E13BE" w14:textId="6946AB57" w:rsidR="00DC1547" w:rsidRPr="009A21DA" w:rsidRDefault="002E154F" w:rsidP="009A21DA">
      <w:pPr>
        <w:rPr>
          <w:b/>
          <w:bCs/>
          <w:lang w:val="fr-FR"/>
        </w:rPr>
      </w:pPr>
      <w:r w:rsidRPr="009A21DA">
        <w:rPr>
          <w:b/>
          <w:bCs/>
          <w:lang w:val="fr-FR"/>
        </w:rPr>
        <w:t>Après</w:t>
      </w:r>
      <w:r w:rsidR="009A21DA" w:rsidRPr="009A21DA">
        <w:rPr>
          <w:b/>
          <w:bCs/>
          <w:lang w:val="fr-FR"/>
        </w:rPr>
        <w:t xml:space="preserve"> 2028 :</w:t>
      </w:r>
      <w:r w:rsidR="00C62FCD" w:rsidRPr="009A21DA">
        <w:rPr>
          <w:b/>
          <w:bCs/>
          <w:lang w:val="fr-FR"/>
        </w:rPr>
        <w:t xml:space="preserve"> atteindre un surplus primaire pour réduire la dette</w:t>
      </w:r>
    </w:p>
    <w:p w14:paraId="6FA41E0A" w14:textId="77777777" w:rsidR="009A21DA" w:rsidRDefault="009A21DA">
      <w:pPr>
        <w:rPr>
          <w:lang w:val="fr-FR"/>
        </w:rPr>
      </w:pPr>
    </w:p>
    <w:p w14:paraId="216470F0" w14:textId="77777777" w:rsidR="00A75854" w:rsidRPr="00887438" w:rsidRDefault="00A75854">
      <w:pPr>
        <w:rPr>
          <w:lang w:val="fr-FR"/>
        </w:rPr>
      </w:pPr>
    </w:p>
    <w:p w14:paraId="5D48A14E" w14:textId="35F790A4" w:rsidR="00C62FCD" w:rsidRPr="00887438" w:rsidRDefault="00C62FCD">
      <w:pPr>
        <w:rPr>
          <w:b/>
          <w:bCs/>
          <w:lang w:val="fr-FR"/>
        </w:rPr>
      </w:pPr>
      <w:r w:rsidRPr="00887438">
        <w:rPr>
          <w:b/>
          <w:bCs/>
          <w:lang w:val="fr-FR"/>
        </w:rPr>
        <w:t>Vents contraires : changement démographique, transition énergétique, et réarmement</w:t>
      </w:r>
    </w:p>
    <w:p w14:paraId="30F352BC" w14:textId="77777777" w:rsidR="00C62FCD" w:rsidRPr="00887438" w:rsidRDefault="00C62FCD">
      <w:pPr>
        <w:rPr>
          <w:lang w:val="fr-FR"/>
        </w:rPr>
      </w:pPr>
    </w:p>
    <w:p w14:paraId="1D2D1685" w14:textId="77777777" w:rsidR="00C62FCD" w:rsidRPr="00887438" w:rsidRDefault="00C62FCD">
      <w:pPr>
        <w:rPr>
          <w:lang w:val="fr-FR"/>
        </w:rPr>
      </w:pPr>
    </w:p>
    <w:p w14:paraId="626CAA14" w14:textId="6CCCC11A" w:rsidR="00C62FCD" w:rsidRPr="002E154F" w:rsidRDefault="007E296E" w:rsidP="002E154F">
      <w:pPr>
        <w:rPr>
          <w:b/>
          <w:bCs/>
          <w:lang w:val="fr-FR"/>
        </w:rPr>
      </w:pPr>
      <w:bookmarkStart w:id="2" w:name="OLE_LINK1"/>
      <w:r>
        <w:rPr>
          <w:b/>
          <w:bCs/>
          <w:lang w:val="fr-FR"/>
        </w:rPr>
        <w:t>De 2024 à 2028</w:t>
      </w:r>
      <w:r w:rsidR="00C62FCD" w:rsidRPr="002E154F">
        <w:rPr>
          <w:b/>
          <w:bCs/>
          <w:lang w:val="fr-FR"/>
        </w:rPr>
        <w:t xml:space="preserve"> : </w:t>
      </w:r>
      <w:r>
        <w:rPr>
          <w:b/>
          <w:bCs/>
          <w:lang w:val="fr-FR"/>
        </w:rPr>
        <w:t xml:space="preserve">un </w:t>
      </w:r>
      <w:r w:rsidR="00C62FCD" w:rsidRPr="002E154F">
        <w:rPr>
          <w:b/>
          <w:bCs/>
          <w:lang w:val="fr-FR"/>
        </w:rPr>
        <w:t>rythme de consolidation</w:t>
      </w:r>
      <w:r>
        <w:rPr>
          <w:b/>
          <w:bCs/>
          <w:lang w:val="fr-FR"/>
        </w:rPr>
        <w:t xml:space="preserve"> soutenu</w:t>
      </w:r>
    </w:p>
    <w:p w14:paraId="5F8D0FAF" w14:textId="77777777" w:rsidR="00DC1547" w:rsidRPr="00887438" w:rsidRDefault="00DC1547">
      <w:pPr>
        <w:rPr>
          <w:lang w:val="fr-FR"/>
        </w:rPr>
      </w:pPr>
    </w:p>
    <w:bookmarkEnd w:id="2"/>
    <w:p w14:paraId="2239080F" w14:textId="77777777" w:rsidR="00DC1547" w:rsidRPr="00887438" w:rsidRDefault="00DC1547">
      <w:pPr>
        <w:rPr>
          <w:lang w:val="fr-FR"/>
        </w:rPr>
      </w:pPr>
    </w:p>
    <w:p w14:paraId="21C10C40" w14:textId="4CACA418" w:rsidR="00B41C9E" w:rsidRPr="002E154F" w:rsidRDefault="002E154F" w:rsidP="002E154F">
      <w:pPr>
        <w:rPr>
          <w:b/>
          <w:bCs/>
          <w:lang w:val="fr-FR"/>
        </w:rPr>
      </w:pPr>
      <w:r>
        <w:rPr>
          <w:b/>
          <w:bCs/>
          <w:lang w:val="fr-FR"/>
        </w:rPr>
        <w:t xml:space="preserve">Comment </w:t>
      </w:r>
      <w:proofErr w:type="spellStart"/>
      <w:r>
        <w:rPr>
          <w:b/>
          <w:bCs/>
          <w:lang w:val="fr-FR"/>
        </w:rPr>
        <w:t>reduire</w:t>
      </w:r>
      <w:proofErr w:type="spellEnd"/>
      <w:r>
        <w:rPr>
          <w:b/>
          <w:bCs/>
          <w:lang w:val="fr-FR"/>
        </w:rPr>
        <w:t xml:space="preserve"> le </w:t>
      </w:r>
      <w:proofErr w:type="spellStart"/>
      <w:r>
        <w:rPr>
          <w:b/>
          <w:bCs/>
          <w:lang w:val="fr-FR"/>
        </w:rPr>
        <w:t>deficit</w:t>
      </w:r>
      <w:proofErr w:type="spellEnd"/>
      <w:r>
        <w:rPr>
          <w:b/>
          <w:bCs/>
          <w:lang w:val="fr-FR"/>
        </w:rPr>
        <w:t> ? Pistes d’</w:t>
      </w:r>
      <w:proofErr w:type="spellStart"/>
      <w:r>
        <w:rPr>
          <w:b/>
          <w:bCs/>
          <w:lang w:val="fr-FR"/>
        </w:rPr>
        <w:t>economies</w:t>
      </w:r>
      <w:proofErr w:type="spellEnd"/>
      <w:r>
        <w:rPr>
          <w:b/>
          <w:bCs/>
          <w:lang w:val="fr-FR"/>
        </w:rPr>
        <w:t xml:space="preserve"> pour les recettes et les </w:t>
      </w:r>
      <w:proofErr w:type="spellStart"/>
      <w:r>
        <w:rPr>
          <w:b/>
          <w:bCs/>
          <w:lang w:val="fr-FR"/>
        </w:rPr>
        <w:t>depenses</w:t>
      </w:r>
      <w:proofErr w:type="spellEnd"/>
    </w:p>
    <w:p w14:paraId="05FFB6FD" w14:textId="77777777" w:rsidR="00B41C9E" w:rsidRPr="00887438" w:rsidRDefault="00B41C9E" w:rsidP="00B41C9E">
      <w:pPr>
        <w:rPr>
          <w:lang w:val="fr-FR"/>
        </w:rPr>
      </w:pPr>
    </w:p>
    <w:p w14:paraId="46C8D5DB" w14:textId="77777777" w:rsidR="00B41C9E" w:rsidRPr="00887438" w:rsidRDefault="00B41C9E">
      <w:pPr>
        <w:rPr>
          <w:lang w:val="fr-FR"/>
        </w:rPr>
      </w:pPr>
    </w:p>
    <w:p w14:paraId="696A7DD7" w14:textId="77777777" w:rsidR="00F240E0" w:rsidRPr="00887438" w:rsidRDefault="00F240E0">
      <w:pPr>
        <w:rPr>
          <w:lang w:val="fr-FR"/>
        </w:rPr>
      </w:pPr>
    </w:p>
    <w:p w14:paraId="5190E0DC" w14:textId="77777777" w:rsidR="00F240E0" w:rsidRPr="00887438" w:rsidRDefault="00F240E0">
      <w:pPr>
        <w:rPr>
          <w:lang w:val="fr-FR"/>
        </w:rPr>
      </w:pPr>
    </w:p>
    <w:p w14:paraId="6A44FCDE" w14:textId="77777777" w:rsidR="00F240E0" w:rsidRPr="00887438" w:rsidRDefault="00F240E0">
      <w:pPr>
        <w:rPr>
          <w:lang w:val="fr-FR"/>
        </w:rPr>
      </w:pPr>
    </w:p>
    <w:p w14:paraId="3A7B162E" w14:textId="77777777" w:rsidR="00F240E0" w:rsidRPr="00887438" w:rsidRDefault="00F240E0">
      <w:pPr>
        <w:rPr>
          <w:lang w:val="fr-FR"/>
        </w:rPr>
      </w:pPr>
    </w:p>
    <w:p w14:paraId="7E157AB7" w14:textId="77777777" w:rsidR="00F240E0" w:rsidRPr="00887438" w:rsidRDefault="00F240E0">
      <w:pPr>
        <w:rPr>
          <w:lang w:val="fr-FR"/>
        </w:rPr>
      </w:pPr>
    </w:p>
    <w:p w14:paraId="0B8768C5" w14:textId="77777777" w:rsidR="00F240E0" w:rsidRPr="00887438" w:rsidRDefault="00F240E0">
      <w:pPr>
        <w:rPr>
          <w:lang w:val="fr-FR"/>
        </w:rPr>
      </w:pPr>
    </w:p>
    <w:p w14:paraId="5AFAF2B2" w14:textId="77777777" w:rsidR="00F240E0" w:rsidRPr="00887438" w:rsidRDefault="00F240E0">
      <w:pPr>
        <w:rPr>
          <w:lang w:val="fr-FR"/>
        </w:rPr>
      </w:pPr>
    </w:p>
    <w:p w14:paraId="6F0DA296" w14:textId="77777777" w:rsidR="00F240E0" w:rsidRPr="00887438" w:rsidRDefault="00F240E0">
      <w:pPr>
        <w:rPr>
          <w:lang w:val="fr-FR"/>
        </w:rPr>
      </w:pPr>
    </w:p>
    <w:sectPr w:rsidR="00F240E0" w:rsidRPr="00887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16B5C" w14:textId="77777777" w:rsidR="000E304B" w:rsidRDefault="000E304B" w:rsidP="00822691">
      <w:r>
        <w:separator/>
      </w:r>
    </w:p>
  </w:endnote>
  <w:endnote w:type="continuationSeparator" w:id="0">
    <w:p w14:paraId="15F1D9F3" w14:textId="77777777" w:rsidR="000E304B" w:rsidRDefault="000E304B" w:rsidP="0082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9017" w14:textId="77777777" w:rsidR="000E304B" w:rsidRDefault="000E304B" w:rsidP="00822691">
      <w:r>
        <w:separator/>
      </w:r>
    </w:p>
  </w:footnote>
  <w:footnote w:type="continuationSeparator" w:id="0">
    <w:p w14:paraId="3801086C" w14:textId="77777777" w:rsidR="000E304B" w:rsidRDefault="000E304B" w:rsidP="00822691">
      <w:r>
        <w:continuationSeparator/>
      </w:r>
    </w:p>
  </w:footnote>
  <w:footnote w:id="1">
    <w:p w14:paraId="393C4692" w14:textId="1218AD46" w:rsidR="00822691" w:rsidRDefault="00822691">
      <w:pPr>
        <w:pStyle w:val="FootnoteText"/>
      </w:pPr>
      <w:r>
        <w:rPr>
          <w:rStyle w:val="FootnoteReference"/>
        </w:rPr>
        <w:footnoteRef/>
      </w:r>
      <w:r>
        <w:t xml:space="preserve"> </w:t>
      </w:r>
      <w:proofErr w:type="spellStart"/>
      <w:r>
        <w:t>Cette</w:t>
      </w:r>
      <w:proofErr w:type="spellEnd"/>
      <w:r>
        <w:t xml:space="preserve"> conclusion </w:t>
      </w:r>
      <w:proofErr w:type="spellStart"/>
      <w:r>
        <w:t>est</w:t>
      </w:r>
      <w:proofErr w:type="spellEnd"/>
      <w:r>
        <w:t xml:space="preserve"> à </w:t>
      </w:r>
      <w:proofErr w:type="spellStart"/>
      <w:r>
        <w:t>nuancer</w:t>
      </w:r>
      <w:proofErr w:type="spellEnd"/>
      <w:r>
        <w:t xml:space="preserve">: les tendances </w:t>
      </w:r>
      <w:proofErr w:type="spellStart"/>
      <w:r>
        <w:t>structurelles</w:t>
      </w:r>
      <w:proofErr w:type="spellEnd"/>
      <w:r>
        <w:t xml:space="preserve"> sur les </w:t>
      </w:r>
      <w:proofErr w:type="spellStart"/>
      <w:r>
        <w:t>taux</w:t>
      </w:r>
      <w:proofErr w:type="spellEnd"/>
      <w:r>
        <w:t xml:space="preserve"> </w:t>
      </w:r>
      <w:proofErr w:type="spellStart"/>
      <w:r>
        <w:t>d’intérets</w:t>
      </w:r>
      <w:proofErr w:type="spellEnd"/>
      <w:r>
        <w:t xml:space="preserve"> et le </w:t>
      </w:r>
      <w:proofErr w:type="spellStart"/>
      <w:r>
        <w:t>taux</w:t>
      </w:r>
      <w:proofErr w:type="spellEnd"/>
      <w:r>
        <w:t xml:space="preserve"> de </w:t>
      </w:r>
      <w:proofErr w:type="spellStart"/>
      <w:r>
        <w:t>croissance</w:t>
      </w:r>
      <w:proofErr w:type="spellEnd"/>
      <w:r>
        <w:t xml:space="preserve"> </w:t>
      </w:r>
      <w:proofErr w:type="spellStart"/>
      <w:r>
        <w:t>réelle</w:t>
      </w:r>
      <w:proofErr w:type="spellEnd"/>
      <w:r>
        <w:t xml:space="preserve"> du PIB, </w:t>
      </w:r>
      <w:proofErr w:type="spellStart"/>
      <w:r>
        <w:t>liées</w:t>
      </w:r>
      <w:proofErr w:type="spellEnd"/>
      <w:r>
        <w:t xml:space="preserve"> au </w:t>
      </w:r>
      <w:proofErr w:type="spellStart"/>
      <w:r>
        <w:t>changement</w:t>
      </w:r>
      <w:proofErr w:type="spellEnd"/>
      <w:r>
        <w:t xml:space="preserve"> </w:t>
      </w:r>
      <w:proofErr w:type="spellStart"/>
      <w:r>
        <w:t>démographique</w:t>
      </w:r>
      <w:proofErr w:type="spellEnd"/>
      <w:r>
        <w:t xml:space="preserve">, à </w:t>
      </w:r>
      <w:proofErr w:type="spellStart"/>
      <w:r>
        <w:t>l’augmentation</w:t>
      </w:r>
      <w:proofErr w:type="spellEnd"/>
      <w:r>
        <w:t xml:space="preserve"> du </w:t>
      </w:r>
      <w:proofErr w:type="spellStart"/>
      <w:r>
        <w:t>niveau</w:t>
      </w:r>
      <w:proofErr w:type="spellEnd"/>
      <w:r>
        <w:t xml:space="preserve"> de </w:t>
      </w:r>
      <w:proofErr w:type="spellStart"/>
      <w:r>
        <w:t>déficits</w:t>
      </w:r>
      <w:proofErr w:type="spellEnd"/>
      <w:r>
        <w:t xml:space="preserve">, au </w:t>
      </w:r>
      <w:proofErr w:type="spellStart"/>
      <w:r>
        <w:t>changement</w:t>
      </w:r>
      <w:proofErr w:type="spellEnd"/>
      <w:r>
        <w:t xml:space="preserve"> de la structure competitive de </w:t>
      </w:r>
      <w:proofErr w:type="spellStart"/>
      <w:r>
        <w:t>l’économie</w:t>
      </w:r>
      <w:proofErr w:type="spellEnd"/>
      <w:r>
        <w:t xml:space="preserve">, </w:t>
      </w:r>
      <w:proofErr w:type="spellStart"/>
      <w:r>
        <w:t>ou</w:t>
      </w:r>
      <w:proofErr w:type="spellEnd"/>
      <w:r>
        <w:t xml:space="preserve"> au </w:t>
      </w:r>
      <w:proofErr w:type="spellStart"/>
      <w:r>
        <w:t>progrès</w:t>
      </w:r>
      <w:proofErr w:type="spellEnd"/>
      <w:r>
        <w:t xml:space="preserve"> technique ne </w:t>
      </w:r>
      <w:proofErr w:type="spellStart"/>
      <w:r>
        <w:t>s’annulent</w:t>
      </w:r>
      <w:proofErr w:type="spellEnd"/>
      <w:r>
        <w:t xml:space="preserve"> pas </w:t>
      </w:r>
      <w:proofErr w:type="spellStart"/>
      <w:r>
        <w:t>exactement</w:t>
      </w:r>
      <w:proofErr w:type="spellEnd"/>
      <w:r>
        <w:t xml:space="preserve">, </w:t>
      </w:r>
      <w:proofErr w:type="spellStart"/>
      <w:r>
        <w:t>mais</w:t>
      </w:r>
      <w:proofErr w:type="spellEnd"/>
      <w:r>
        <w:t xml:space="preserve"> </w:t>
      </w:r>
      <w:proofErr w:type="spellStart"/>
      <w:r>
        <w:t>l’effet</w:t>
      </w:r>
      <w:proofErr w:type="spellEnd"/>
      <w:r>
        <w:t xml:space="preserve"> total sur </w:t>
      </w:r>
      <m:oMath>
        <m:r>
          <w:rPr>
            <w:rFonts w:ascii="Cambria Math" w:hAnsi="Cambria Math"/>
            <w:lang w:val="fr-FR"/>
          </w:rPr>
          <m:t>r-g</m:t>
        </m:r>
      </m:oMath>
      <w:r>
        <w:rPr>
          <w:rFonts w:eastAsiaTheme="minorEastAsia"/>
          <w:lang w:val="fr-FR"/>
        </w:rPr>
        <w:t xml:space="preserve"> est ambigu.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0011"/>
    <w:multiLevelType w:val="hybridMultilevel"/>
    <w:tmpl w:val="D2521E7C"/>
    <w:lvl w:ilvl="0" w:tplc="930A6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47509"/>
    <w:multiLevelType w:val="hybridMultilevel"/>
    <w:tmpl w:val="6442BD0E"/>
    <w:lvl w:ilvl="0" w:tplc="65C6B7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543771">
    <w:abstractNumId w:val="0"/>
  </w:num>
  <w:num w:numId="2" w16cid:durableId="459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E0"/>
    <w:rsid w:val="000E304B"/>
    <w:rsid w:val="0021443F"/>
    <w:rsid w:val="002E154F"/>
    <w:rsid w:val="0037578A"/>
    <w:rsid w:val="003D64F8"/>
    <w:rsid w:val="003E7E10"/>
    <w:rsid w:val="00424644"/>
    <w:rsid w:val="0045226E"/>
    <w:rsid w:val="00642744"/>
    <w:rsid w:val="00667701"/>
    <w:rsid w:val="007E296E"/>
    <w:rsid w:val="00822691"/>
    <w:rsid w:val="00887438"/>
    <w:rsid w:val="009A21DA"/>
    <w:rsid w:val="00A75854"/>
    <w:rsid w:val="00AE2208"/>
    <w:rsid w:val="00B41C9E"/>
    <w:rsid w:val="00B85612"/>
    <w:rsid w:val="00B9641E"/>
    <w:rsid w:val="00C62FCD"/>
    <w:rsid w:val="00DB35ED"/>
    <w:rsid w:val="00DC1547"/>
    <w:rsid w:val="00DE7C86"/>
    <w:rsid w:val="00DF24F8"/>
    <w:rsid w:val="00E768F4"/>
    <w:rsid w:val="00EF3304"/>
    <w:rsid w:val="00F2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2C2ED"/>
  <w15:chartTrackingRefBased/>
  <w15:docId w15:val="{2A832174-6986-E44D-823B-C8267CA6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0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0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0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0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0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0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0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0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0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0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0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0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0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0E0"/>
    <w:rPr>
      <w:rFonts w:eastAsiaTheme="majorEastAsia" w:cstheme="majorBidi"/>
      <w:color w:val="272727" w:themeColor="text1" w:themeTint="D8"/>
    </w:rPr>
  </w:style>
  <w:style w:type="paragraph" w:styleId="Title">
    <w:name w:val="Title"/>
    <w:basedOn w:val="Normal"/>
    <w:next w:val="Normal"/>
    <w:link w:val="TitleChar"/>
    <w:uiPriority w:val="10"/>
    <w:qFormat/>
    <w:rsid w:val="00F240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0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0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40E0"/>
    <w:rPr>
      <w:i/>
      <w:iCs/>
      <w:color w:val="404040" w:themeColor="text1" w:themeTint="BF"/>
    </w:rPr>
  </w:style>
  <w:style w:type="paragraph" w:styleId="ListParagraph">
    <w:name w:val="List Paragraph"/>
    <w:basedOn w:val="Normal"/>
    <w:uiPriority w:val="34"/>
    <w:qFormat/>
    <w:rsid w:val="00F240E0"/>
    <w:pPr>
      <w:ind w:left="720"/>
      <w:contextualSpacing/>
    </w:pPr>
  </w:style>
  <w:style w:type="character" w:styleId="IntenseEmphasis">
    <w:name w:val="Intense Emphasis"/>
    <w:basedOn w:val="DefaultParagraphFont"/>
    <w:uiPriority w:val="21"/>
    <w:qFormat/>
    <w:rsid w:val="00F240E0"/>
    <w:rPr>
      <w:i/>
      <w:iCs/>
      <w:color w:val="0F4761" w:themeColor="accent1" w:themeShade="BF"/>
    </w:rPr>
  </w:style>
  <w:style w:type="paragraph" w:styleId="IntenseQuote">
    <w:name w:val="Intense Quote"/>
    <w:basedOn w:val="Normal"/>
    <w:next w:val="Normal"/>
    <w:link w:val="IntenseQuoteChar"/>
    <w:uiPriority w:val="30"/>
    <w:qFormat/>
    <w:rsid w:val="00F240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0E0"/>
    <w:rPr>
      <w:i/>
      <w:iCs/>
      <w:color w:val="0F4761" w:themeColor="accent1" w:themeShade="BF"/>
    </w:rPr>
  </w:style>
  <w:style w:type="character" w:styleId="IntenseReference">
    <w:name w:val="Intense Reference"/>
    <w:basedOn w:val="DefaultParagraphFont"/>
    <w:uiPriority w:val="32"/>
    <w:qFormat/>
    <w:rsid w:val="00F240E0"/>
    <w:rPr>
      <w:b/>
      <w:bCs/>
      <w:smallCaps/>
      <w:color w:val="0F4761" w:themeColor="accent1" w:themeShade="BF"/>
      <w:spacing w:val="5"/>
    </w:rPr>
  </w:style>
  <w:style w:type="paragraph" w:styleId="Caption">
    <w:name w:val="caption"/>
    <w:basedOn w:val="Normal"/>
    <w:next w:val="Normal"/>
    <w:uiPriority w:val="35"/>
    <w:unhideWhenUsed/>
    <w:qFormat/>
    <w:rsid w:val="00B41C9E"/>
    <w:pPr>
      <w:spacing w:after="200"/>
    </w:pPr>
    <w:rPr>
      <w:i/>
      <w:iCs/>
      <w:color w:val="0E2841" w:themeColor="text2"/>
      <w:sz w:val="18"/>
      <w:szCs w:val="18"/>
    </w:rPr>
  </w:style>
  <w:style w:type="character" w:styleId="PlaceholderText">
    <w:name w:val="Placeholder Text"/>
    <w:basedOn w:val="DefaultParagraphFont"/>
    <w:uiPriority w:val="99"/>
    <w:semiHidden/>
    <w:rsid w:val="00B41C9E"/>
    <w:rPr>
      <w:color w:val="666666"/>
    </w:rPr>
  </w:style>
  <w:style w:type="paragraph" w:styleId="FootnoteText">
    <w:name w:val="footnote text"/>
    <w:basedOn w:val="Normal"/>
    <w:link w:val="FootnoteTextChar"/>
    <w:uiPriority w:val="99"/>
    <w:semiHidden/>
    <w:unhideWhenUsed/>
    <w:rsid w:val="00822691"/>
    <w:rPr>
      <w:sz w:val="20"/>
      <w:szCs w:val="20"/>
    </w:rPr>
  </w:style>
  <w:style w:type="character" w:customStyle="1" w:styleId="FootnoteTextChar">
    <w:name w:val="Footnote Text Char"/>
    <w:basedOn w:val="DefaultParagraphFont"/>
    <w:link w:val="FootnoteText"/>
    <w:uiPriority w:val="99"/>
    <w:semiHidden/>
    <w:rsid w:val="00822691"/>
    <w:rPr>
      <w:sz w:val="20"/>
      <w:szCs w:val="20"/>
    </w:rPr>
  </w:style>
  <w:style w:type="character" w:styleId="FootnoteReference">
    <w:name w:val="footnote reference"/>
    <w:basedOn w:val="DefaultParagraphFont"/>
    <w:uiPriority w:val="99"/>
    <w:semiHidden/>
    <w:unhideWhenUsed/>
    <w:rsid w:val="008226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uclert/Dropbox/CAE/Trajectoire%20Finances%20Publiques/Donne&#769;es/dette%20historique%20r-g%20no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auclert/Dropbox/CAE/Trajectoire%20Finances%20Publiques/Donne&#769;es/dette%20historique%20r-g%20not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auclert/Dropbox/CAE/Trajectoire%20Finances%20Publiques/Donne&#769;es/dette%20historique%20r-g%20not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auclert/Dropbox/CAE/Trajectoire%20Finances%20Publiques/Donne&#769;es/dette%20historique%20r-g%20not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8146152783534"/>
          <c:y val="8.247422680412371E-2"/>
          <c:w val="0.67829672606713631"/>
          <c:h val="0.77059014530400194"/>
        </c:manualLayout>
      </c:layout>
      <c:lineChart>
        <c:grouping val="standard"/>
        <c:varyColors val="0"/>
        <c:ser>
          <c:idx val="0"/>
          <c:order val="0"/>
          <c:tx>
            <c:v>dette/pib</c:v>
          </c:tx>
          <c:spPr>
            <a:ln w="28575" cap="rnd">
              <a:solidFill>
                <a:schemeClr val="accent1"/>
              </a:solidFill>
              <a:round/>
            </a:ln>
            <a:effectLst/>
          </c:spPr>
          <c:marker>
            <c:symbol val="none"/>
          </c:marker>
          <c:cat>
            <c:numRef>
              <c:f>'Series - utilise deficit public'!$C$2:$BO$2</c:f>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f>'Series - utilise deficit public'!$C$33:$BO$33</c:f>
              <c:numCache>
                <c:formatCode>0.00%</c:formatCode>
                <c:ptCount val="65"/>
                <c:pt idx="0">
                  <c:v>0.31480000000000002</c:v>
                </c:pt>
                <c:pt idx="1">
                  <c:v>0.28499999999999998</c:v>
                </c:pt>
                <c:pt idx="2">
                  <c:v>0.2631</c:v>
                </c:pt>
                <c:pt idx="3">
                  <c:v>0.2361</c:v>
                </c:pt>
                <c:pt idx="4">
                  <c:v>0.22170000000000001</c:v>
                </c:pt>
                <c:pt idx="5">
                  <c:v>0.19589999999999999</c:v>
                </c:pt>
                <c:pt idx="6">
                  <c:v>0.1759</c:v>
                </c:pt>
                <c:pt idx="7">
                  <c:v>0.15310000000000001</c:v>
                </c:pt>
                <c:pt idx="8">
                  <c:v>0.1605</c:v>
                </c:pt>
                <c:pt idx="9">
                  <c:v>0.1583</c:v>
                </c:pt>
                <c:pt idx="10">
                  <c:v>0.1439</c:v>
                </c:pt>
                <c:pt idx="11">
                  <c:v>0.2102</c:v>
                </c:pt>
                <c:pt idx="12">
                  <c:v>0.2006</c:v>
                </c:pt>
                <c:pt idx="13">
                  <c:v>0.17710000000000001</c:v>
                </c:pt>
                <c:pt idx="14">
                  <c:v>0.1583</c:v>
                </c:pt>
                <c:pt idx="15">
                  <c:v>0.1542</c:v>
                </c:pt>
                <c:pt idx="16">
                  <c:v>0.16089999999999999</c:v>
                </c:pt>
                <c:pt idx="17">
                  <c:v>0.151</c:v>
                </c:pt>
                <c:pt idx="18">
                  <c:v>0.14990000000000001</c:v>
                </c:pt>
                <c:pt idx="19">
                  <c:v>0.1724</c:v>
                </c:pt>
                <c:pt idx="20">
                  <c:v>0.19819999999999999</c:v>
                </c:pt>
                <c:pt idx="21">
                  <c:v>0.21024500000000002</c:v>
                </c:pt>
                <c:pt idx="22">
                  <c:v>0.22240400000000002</c:v>
                </c:pt>
                <c:pt idx="23">
                  <c:v>0.25579099999999999</c:v>
                </c:pt>
                <c:pt idx="24">
                  <c:v>0.26921900000000004</c:v>
                </c:pt>
                <c:pt idx="25">
                  <c:v>0.29344999999999999</c:v>
                </c:pt>
                <c:pt idx="26">
                  <c:v>0.30958800000000003</c:v>
                </c:pt>
                <c:pt idx="27">
                  <c:v>0.31527699999999997</c:v>
                </c:pt>
                <c:pt idx="28">
                  <c:v>0.33842500000000003</c:v>
                </c:pt>
                <c:pt idx="29">
                  <c:v>0.33715200000000006</c:v>
                </c:pt>
                <c:pt idx="30">
                  <c:v>0.34435000000000004</c:v>
                </c:pt>
                <c:pt idx="31">
                  <c:v>0.35553499999999999</c:v>
                </c:pt>
                <c:pt idx="32">
                  <c:v>0.363396</c:v>
                </c:pt>
                <c:pt idx="33">
                  <c:v>0.40087400000000001</c:v>
                </c:pt>
                <c:pt idx="34">
                  <c:v>0.46488500000000005</c:v>
                </c:pt>
                <c:pt idx="35">
                  <c:v>0.49768400000000002</c:v>
                </c:pt>
                <c:pt idx="36">
                  <c:v>0.56105899999999997</c:v>
                </c:pt>
                <c:pt idx="37">
                  <c:v>0.59998399999999996</c:v>
                </c:pt>
                <c:pt idx="38">
                  <c:v>0.61424999999999996</c:v>
                </c:pt>
                <c:pt idx="39">
                  <c:v>0.61347399999999996</c:v>
                </c:pt>
                <c:pt idx="40">
                  <c:v>0.60496499999999997</c:v>
                </c:pt>
                <c:pt idx="41">
                  <c:v>0.58882400000000001</c:v>
                </c:pt>
                <c:pt idx="42">
                  <c:v>0.58343900000000004</c:v>
                </c:pt>
                <c:pt idx="43">
                  <c:v>0.60258</c:v>
                </c:pt>
                <c:pt idx="44">
                  <c:v>0.64412700000000001</c:v>
                </c:pt>
                <c:pt idx="45">
                  <c:v>0.65939099999999995</c:v>
                </c:pt>
                <c:pt idx="46">
                  <c:v>0.67382999999999993</c:v>
                </c:pt>
                <c:pt idx="47">
                  <c:v>0.64610800000000002</c:v>
                </c:pt>
                <c:pt idx="48">
                  <c:v>0.64535500000000001</c:v>
                </c:pt>
                <c:pt idx="49">
                  <c:v>0.68778300000000003</c:v>
                </c:pt>
                <c:pt idx="50">
                  <c:v>0.83038900000000004</c:v>
                </c:pt>
                <c:pt idx="51">
                  <c:v>0.85256900000000002</c:v>
                </c:pt>
                <c:pt idx="52">
                  <c:v>0.87834400000000001</c:v>
                </c:pt>
                <c:pt idx="53">
                  <c:v>0.90603999999999996</c:v>
                </c:pt>
                <c:pt idx="54">
                  <c:v>0.93413200000000007</c:v>
                </c:pt>
                <c:pt idx="55">
                  <c:v>0.94888700000000004</c:v>
                </c:pt>
                <c:pt idx="56">
                  <c:v>0.95579700000000001</c:v>
                </c:pt>
                <c:pt idx="57">
                  <c:v>0.97956799999999999</c:v>
                </c:pt>
                <c:pt idx="58">
                  <c:v>0.981321</c:v>
                </c:pt>
                <c:pt idx="59">
                  <c:v>0.97781499999999999</c:v>
                </c:pt>
                <c:pt idx="60">
                  <c:v>0.9745910000000001</c:v>
                </c:pt>
                <c:pt idx="61">
                  <c:v>1.1504220000000001</c:v>
                </c:pt>
                <c:pt idx="62">
                  <c:v>1.1297228987601704</c:v>
                </c:pt>
                <c:pt idx="63">
                  <c:v>1.1191728064046269</c:v>
                </c:pt>
                <c:pt idx="64">
                  <c:v>1.1063461502100709</c:v>
                </c:pt>
              </c:numCache>
            </c:numRef>
          </c:val>
          <c:smooth val="0"/>
          <c:extLst>
            <c:ext xmlns:c16="http://schemas.microsoft.com/office/drawing/2014/chart" uri="{C3380CC4-5D6E-409C-BE32-E72D297353CC}">
              <c16:uniqueId val="{00000000-3F39-6B4F-AA3E-5F8C62F83DAE}"/>
            </c:ext>
          </c:extLst>
        </c:ser>
        <c:dLbls>
          <c:showLegendKey val="0"/>
          <c:showVal val="0"/>
          <c:showCatName val="0"/>
          <c:showSerName val="0"/>
          <c:showPercent val="0"/>
          <c:showBubbleSize val="0"/>
        </c:dLbls>
        <c:marker val="1"/>
        <c:smooth val="0"/>
        <c:axId val="1221620319"/>
        <c:axId val="1221643615"/>
      </c:lineChart>
      <c:lineChart>
        <c:grouping val="standard"/>
        <c:varyColors val="0"/>
        <c:ser>
          <c:idx val="1"/>
          <c:order val="1"/>
          <c:spPr>
            <a:ln w="28575" cap="rnd">
              <a:solidFill>
                <a:schemeClr val="accent2"/>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1-3F39-6B4F-AA3E-5F8C62F83DAE}"/>
            </c:ext>
          </c:extLst>
        </c:ser>
        <c:dLbls>
          <c:showLegendKey val="0"/>
          <c:showVal val="0"/>
          <c:showCatName val="0"/>
          <c:showSerName val="0"/>
          <c:showPercent val="0"/>
          <c:showBubbleSize val="0"/>
        </c:dLbls>
        <c:marker val="1"/>
        <c:smooth val="0"/>
        <c:axId val="1337980447"/>
        <c:axId val="1337977119"/>
      </c:lineChart>
      <c:catAx>
        <c:axId val="1221620319"/>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43615"/>
        <c:crosses val="autoZero"/>
        <c:auto val="1"/>
        <c:lblAlgn val="ctr"/>
        <c:lblOffset val="100"/>
        <c:tickLblSkip val="7"/>
        <c:noMultiLvlLbl val="0"/>
      </c:catAx>
      <c:valAx>
        <c:axId val="1221643615"/>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20319"/>
        <c:crosses val="autoZero"/>
        <c:crossBetween val="between"/>
      </c:valAx>
      <c:valAx>
        <c:axId val="1337977119"/>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80447"/>
        <c:crosses val="max"/>
        <c:crossBetween val="between"/>
      </c:valAx>
      <c:catAx>
        <c:axId val="1337980447"/>
        <c:scaling>
          <c:orientation val="minMax"/>
        </c:scaling>
        <c:delete val="1"/>
        <c:axPos val="b"/>
        <c:majorTickMark val="out"/>
        <c:minorTickMark val="none"/>
        <c:tickLblPos val="nextTo"/>
        <c:crossAx val="1337977119"/>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38701123897974E-2"/>
          <c:y val="7.775681341719079E-2"/>
          <c:w val="0.92566143078269059"/>
          <c:h val="0.85122616748378155"/>
        </c:manualLayout>
      </c:layout>
      <c:barChart>
        <c:barDir val="col"/>
        <c:grouping val="stacked"/>
        <c:varyColors val="0"/>
        <c:ser>
          <c:idx val="0"/>
          <c:order val="0"/>
          <c:tx>
            <c:v>ajustement  stock flux</c:v>
          </c:tx>
          <c:spPr>
            <a:solidFill>
              <a:srgbClr val="002060"/>
            </a:solidFill>
            <a:ln>
              <a:noFill/>
            </a:ln>
            <a:effectLst/>
          </c:spPr>
          <c:invertIfNegative val="0"/>
          <c:cat>
            <c:numRef>
              <c:f>'Series - utilise chgB'!$D$2:$BO$2</c:f>
              <c:numCache>
                <c:formatCode>General</c:formatCode>
                <c:ptCount val="64"/>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numCache>
            </c:numRef>
          </c:cat>
          <c:val>
            <c:numRef>
              <c:f>'Series - utilise chgB'!$D$24:$BO$24</c:f>
              <c:numCache>
                <c:formatCode>0.0%</c:formatCode>
                <c:ptCount val="64"/>
                <c:pt idx="0">
                  <c:v>1.2689447837041408E-2</c:v>
                </c:pt>
                <c:pt idx="1">
                  <c:v>1.1677252584933543E-2</c:v>
                </c:pt>
                <c:pt idx="2">
                  <c:v>3.0489596879063512E-3</c:v>
                </c:pt>
                <c:pt idx="3">
                  <c:v>1.4957883186506588E-2</c:v>
                </c:pt>
                <c:pt idx="4">
                  <c:v>4.311705179845954E-3</c:v>
                </c:pt>
                <c:pt idx="5">
                  <c:v>1.2071523906722317E-4</c:v>
                </c:pt>
                <c:pt idx="6">
                  <c:v>-7.0493468234613032E-3</c:v>
                </c:pt>
                <c:pt idx="7">
                  <c:v>1.3440302641130242E-2</c:v>
                </c:pt>
                <c:pt idx="8">
                  <c:v>-3.2170756426399202E-3</c:v>
                </c:pt>
                <c:pt idx="9">
                  <c:v>4.6655438477832215E-3</c:v>
                </c:pt>
                <c:pt idx="10">
                  <c:v>8.1215709080494497E-2</c:v>
                </c:pt>
                <c:pt idx="11">
                  <c:v>9.1210311572700476E-3</c:v>
                </c:pt>
                <c:pt idx="12">
                  <c:v>-4.2410871190579351E-4</c:v>
                </c:pt>
                <c:pt idx="13">
                  <c:v>3.2202055767569801E-3</c:v>
                </c:pt>
                <c:pt idx="14">
                  <c:v>1.9427453574567224E-2</c:v>
                </c:pt>
                <c:pt idx="15">
                  <c:v>-5.1709254014821902E-3</c:v>
                </c:pt>
                <c:pt idx="16">
                  <c:v>-4.5135078426481404E-3</c:v>
                </c:pt>
                <c:pt idx="17">
                  <c:v>4.3400486299203919E-3</c:v>
                </c:pt>
                <c:pt idx="18">
                  <c:v>2.2508660556774633E-2</c:v>
                </c:pt>
                <c:pt idx="19">
                  <c:v>4.2452464779889947E-2</c:v>
                </c:pt>
                <c:pt idx="20">
                  <c:v>3.194459127432106E-2</c:v>
                </c:pt>
                <c:pt idx="21">
                  <c:v>1.3128150827965531E-2</c:v>
                </c:pt>
                <c:pt idx="22">
                  <c:v>3.5631590354085127E-2</c:v>
                </c:pt>
                <c:pt idx="23">
                  <c:v>1.5389846766854461E-2</c:v>
                </c:pt>
                <c:pt idx="24">
                  <c:v>1.9136840020932619E-2</c:v>
                </c:pt>
                <c:pt idx="25">
                  <c:v>6.6584047016650287E-3</c:v>
                </c:pt>
                <c:pt idx="26">
                  <c:v>-3.8487790266585058E-3</c:v>
                </c:pt>
                <c:pt idx="27">
                  <c:v>1.8801343017326302E-2</c:v>
                </c:pt>
                <c:pt idx="28">
                  <c:v>-5.4625141183407703E-4</c:v>
                </c:pt>
                <c:pt idx="29">
                  <c:v>1.5360924100485208E-2</c:v>
                </c:pt>
                <c:pt idx="30">
                  <c:v>6.7810992590736537E-3</c:v>
                </c:pt>
                <c:pt idx="31">
                  <c:v>-5.8062022249602526E-3</c:v>
                </c:pt>
                <c:pt idx="32">
                  <c:v>5.8887180443915558E-3</c:v>
                </c:pt>
                <c:pt idx="33">
                  <c:v>5.4131136948076157E-3</c:v>
                </c:pt>
                <c:pt idx="34">
                  <c:v>-4.6450659269221487E-3</c:v>
                </c:pt>
                <c:pt idx="35">
                  <c:v>2.8192794225924685E-2</c:v>
                </c:pt>
                <c:pt idx="36">
                  <c:v>4.0630345310021711E-3</c:v>
                </c:pt>
                <c:pt idx="37">
                  <c:v>-2.6485619716315068E-3</c:v>
                </c:pt>
                <c:pt idx="38">
                  <c:v>3.3612052998159493E-3</c:v>
                </c:pt>
                <c:pt idx="39">
                  <c:v>-1.1827274680424747E-3</c:v>
                </c:pt>
                <c:pt idx="40">
                  <c:v>2.4381418721276791E-3</c:v>
                </c:pt>
                <c:pt idx="41">
                  <c:v>4.2159667143415415E-3</c:v>
                </c:pt>
                <c:pt idx="42">
                  <c:v>5.6183631864637779E-3</c:v>
                </c:pt>
                <c:pt idx="43">
                  <c:v>1.7245101081398772E-2</c:v>
                </c:pt>
                <c:pt idx="44">
                  <c:v>7.4623581075092356E-3</c:v>
                </c:pt>
                <c:pt idx="45">
                  <c:v>4.4985432398686152E-3</c:v>
                </c:pt>
                <c:pt idx="46">
                  <c:v>-2.1298584368917937E-2</c:v>
                </c:pt>
                <c:pt idx="47">
                  <c:v>5.3678864301314796E-3</c:v>
                </c:pt>
                <c:pt idx="48">
                  <c:v>2.7843082142964718E-2</c:v>
                </c:pt>
                <c:pt idx="49">
                  <c:v>5.1056019813862819E-2</c:v>
                </c:pt>
                <c:pt idx="50">
                  <c:v>-2.1254565128159261E-2</c:v>
                </c:pt>
                <c:pt idx="51">
                  <c:v>8.7253548804894633E-4</c:v>
                </c:pt>
                <c:pt idx="52">
                  <c:v>-8.7815802727301585E-3</c:v>
                </c:pt>
                <c:pt idx="53">
                  <c:v>1.1486923705477956E-3</c:v>
                </c:pt>
                <c:pt idx="54">
                  <c:v>-8.3920800645652625E-3</c:v>
                </c:pt>
                <c:pt idx="55">
                  <c:v>-7.3675237623907026E-3</c:v>
                </c:pt>
                <c:pt idx="56">
                  <c:v>-1.1351627412741106E-2</c:v>
                </c:pt>
                <c:pt idx="57">
                  <c:v>1.9318817956489136E-3</c:v>
                </c:pt>
                <c:pt idx="58">
                  <c:v>1.398464693103767E-3</c:v>
                </c:pt>
                <c:pt idx="59">
                  <c:v>-3.4480141612670476E-3</c:v>
                </c:pt>
                <c:pt idx="60">
                  <c:v>2.9235854885082048E-2</c:v>
                </c:pt>
                <c:pt idx="61">
                  <c:v>1.0076263389656825E-3</c:v>
                </c:pt>
                <c:pt idx="62">
                  <c:v>3.9445385003722533E-5</c:v>
                </c:pt>
                <c:pt idx="63">
                  <c:v>-2.2831856575985278E-3</c:v>
                </c:pt>
              </c:numCache>
            </c:numRef>
          </c:val>
          <c:extLst>
            <c:ext xmlns:c16="http://schemas.microsoft.com/office/drawing/2014/chart" uri="{C3380CC4-5D6E-409C-BE32-E72D297353CC}">
              <c16:uniqueId val="{00000000-B430-6D40-AC03-B3629DD59D41}"/>
            </c:ext>
          </c:extLst>
        </c:ser>
        <c:ser>
          <c:idx val="1"/>
          <c:order val="1"/>
          <c:tx>
            <c:v>déficit public</c:v>
          </c:tx>
          <c:spPr>
            <a:solidFill>
              <a:srgbClr val="FF0000"/>
            </a:solidFill>
            <a:ln>
              <a:noFill/>
            </a:ln>
            <a:effectLst/>
          </c:spPr>
          <c:invertIfNegative val="0"/>
          <c:cat>
            <c:numRef>
              <c:f>'Series - utilise chgB'!$D$2:$BO$2</c:f>
              <c:numCache>
                <c:formatCode>General</c:formatCode>
                <c:ptCount val="64"/>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numCache>
            </c:numRef>
          </c:cat>
          <c:val>
            <c:numRef>
              <c:f>'Series - utilise chgB'!$D$23:$BO$23</c:f>
              <c:numCache>
                <c:formatCode>0.0%</c:formatCode>
                <c:ptCount val="64"/>
                <c:pt idx="0">
                  <c:v>-1.1764957082461424E-2</c:v>
                </c:pt>
                <c:pt idx="1">
                  <c:v>-1.1456425406203868E-2</c:v>
                </c:pt>
                <c:pt idx="2">
                  <c:v>-1.7028081397391836E-3</c:v>
                </c:pt>
                <c:pt idx="3">
                  <c:v>-3.8655672947299248E-3</c:v>
                </c:pt>
                <c:pt idx="4">
                  <c:v>-8.3004734647728444E-3</c:v>
                </c:pt>
                <c:pt idx="5">
                  <c:v>-5.5939389181125189E-3</c:v>
                </c:pt>
                <c:pt idx="6">
                  <c:v>-2.1502909714340122E-3</c:v>
                </c:pt>
                <c:pt idx="7">
                  <c:v>5.4475403428443005E-3</c:v>
                </c:pt>
                <c:pt idx="8">
                  <c:v>1.4388378735296789E-2</c:v>
                </c:pt>
                <c:pt idx="9">
                  <c:v>1.6197070288164388E-3</c:v>
                </c:pt>
                <c:pt idx="10">
                  <c:v>3.4686311635829506E-4</c:v>
                </c:pt>
                <c:pt idx="11">
                  <c:v>3.010870805752114E-3</c:v>
                </c:pt>
                <c:pt idx="12">
                  <c:v>-2.187402148421285E-3</c:v>
                </c:pt>
                <c:pt idx="13">
                  <c:v>6.8079890804761424E-4</c:v>
                </c:pt>
                <c:pt idx="14">
                  <c:v>-9.4092698024525489E-4</c:v>
                </c:pt>
                <c:pt idx="15">
                  <c:v>2.9200088181926123E-2</c:v>
                </c:pt>
                <c:pt idx="16">
                  <c:v>1.6295687643977545E-2</c:v>
                </c:pt>
                <c:pt idx="17">
                  <c:v>1.1389570642130111E-2</c:v>
                </c:pt>
                <c:pt idx="18">
                  <c:v>1.7968245772557147E-2</c:v>
                </c:pt>
                <c:pt idx="19">
                  <c:v>4.819065317294923E-3</c:v>
                </c:pt>
                <c:pt idx="20">
                  <c:v>4.2853664475285625E-3</c:v>
                </c:pt>
                <c:pt idx="21">
                  <c:v>2.4075217898565628E-2</c:v>
                </c:pt>
                <c:pt idx="22">
                  <c:v>2.8369133208985192E-2</c:v>
                </c:pt>
                <c:pt idx="23">
                  <c:v>2.5407678874486504E-2</c:v>
                </c:pt>
                <c:pt idx="24">
                  <c:v>2.7360932350819624E-2</c:v>
                </c:pt>
                <c:pt idx="25">
                  <c:v>2.9724596767275444E-2</c:v>
                </c:pt>
                <c:pt idx="26">
                  <c:v>3.1974131962346899E-2</c:v>
                </c:pt>
                <c:pt idx="27">
                  <c:v>2.0144091646679893E-2</c:v>
                </c:pt>
                <c:pt idx="28">
                  <c:v>2.5644850115918976E-2</c:v>
                </c:pt>
                <c:pt idx="29">
                  <c:v>1.7821307544420482E-2</c:v>
                </c:pt>
                <c:pt idx="30">
                  <c:v>2.4337807746410766E-2</c:v>
                </c:pt>
                <c:pt idx="31">
                  <c:v>2.8629529039438412E-2</c:v>
                </c:pt>
                <c:pt idx="32">
                  <c:v>4.6011301672969455E-2</c:v>
                </c:pt>
                <c:pt idx="33">
                  <c:v>6.3587944863888968E-2</c:v>
                </c:pt>
                <c:pt idx="34">
                  <c:v>5.4229841160062894E-2</c:v>
                </c:pt>
                <c:pt idx="35">
                  <c:v>5.1085429948788154E-2</c:v>
                </c:pt>
                <c:pt idx="36">
                  <c:v>3.9058794217841919E-2</c:v>
                </c:pt>
                <c:pt idx="37">
                  <c:v>3.6529115230236782E-2</c:v>
                </c:pt>
                <c:pt idx="38">
                  <c:v>2.3785853349665997E-2</c:v>
                </c:pt>
                <c:pt idx="39">
                  <c:v>1.6029276252160062E-2</c:v>
                </c:pt>
                <c:pt idx="40">
                  <c:v>1.3184903133739432E-2</c:v>
                </c:pt>
                <c:pt idx="41">
                  <c:v>1.3792094656091535E-2</c:v>
                </c:pt>
                <c:pt idx="42">
                  <c:v>3.1602269513908668E-2</c:v>
                </c:pt>
                <c:pt idx="43">
                  <c:v>4.0154758853131203E-2</c:v>
                </c:pt>
                <c:pt idx="44">
                  <c:v>3.5905702929368795E-2</c:v>
                </c:pt>
                <c:pt idx="45">
                  <c:v>3.3555598970499464E-2</c:v>
                </c:pt>
                <c:pt idx="46">
                  <c:v>2.4436856079400444E-2</c:v>
                </c:pt>
                <c:pt idx="47">
                  <c:v>2.6362446944410152E-2</c:v>
                </c:pt>
                <c:pt idx="48">
                  <c:v>3.2637348297011592E-2</c:v>
                </c:pt>
                <c:pt idx="49">
                  <c:v>7.1747790512605256E-2</c:v>
                </c:pt>
                <c:pt idx="50">
                  <c:v>6.8866715548474317E-2</c:v>
                </c:pt>
                <c:pt idx="51">
                  <c:v>5.1547608810665162E-2</c:v>
                </c:pt>
                <c:pt idx="52">
                  <c:v>4.9809843336186585E-2</c:v>
                </c:pt>
                <c:pt idx="53">
                  <c:v>4.0840925944294088E-2</c:v>
                </c:pt>
                <c:pt idx="54">
                  <c:v>3.9046593464867094E-2</c:v>
                </c:pt>
                <c:pt idx="55">
                  <c:v>3.6251746699465855E-2</c:v>
                </c:pt>
                <c:pt idx="56">
                  <c:v>3.6372563983547941E-2</c:v>
                </c:pt>
                <c:pt idx="57">
                  <c:v>2.9584170931926189E-2</c:v>
                </c:pt>
                <c:pt idx="58">
                  <c:v>2.2889545408000402E-2</c:v>
                </c:pt>
                <c:pt idx="59">
                  <c:v>3.0646507783158642E-2</c:v>
                </c:pt>
                <c:pt idx="60">
                  <c:v>8.9840937565794268E-2</c:v>
                </c:pt>
                <c:pt idx="61">
                  <c:v>6.4776641229550416E-2</c:v>
                </c:pt>
                <c:pt idx="62">
                  <c:v>4.8045274662649066E-2</c:v>
                </c:pt>
                <c:pt idx="63">
                  <c:v>5.4939154885963792E-2</c:v>
                </c:pt>
              </c:numCache>
            </c:numRef>
          </c:val>
          <c:extLst>
            <c:ext xmlns:c16="http://schemas.microsoft.com/office/drawing/2014/chart" uri="{C3380CC4-5D6E-409C-BE32-E72D297353CC}">
              <c16:uniqueId val="{00000001-B430-6D40-AC03-B3629DD59D41}"/>
            </c:ext>
          </c:extLst>
        </c:ser>
        <c:dLbls>
          <c:showLegendKey val="0"/>
          <c:showVal val="0"/>
          <c:showCatName val="0"/>
          <c:showSerName val="0"/>
          <c:showPercent val="0"/>
          <c:showBubbleSize val="0"/>
        </c:dLbls>
        <c:gapWidth val="55"/>
        <c:overlap val="100"/>
        <c:axId val="775052616"/>
        <c:axId val="775053696"/>
      </c:barChart>
      <c:catAx>
        <c:axId val="775052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696"/>
        <c:crosses val="autoZero"/>
        <c:auto val="1"/>
        <c:lblAlgn val="ctr"/>
        <c:lblOffset val="100"/>
        <c:noMultiLvlLbl val="0"/>
      </c:catAx>
      <c:valAx>
        <c:axId val="7750536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2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38701123897974E-2"/>
          <c:y val="7.775681341719079E-2"/>
          <c:w val="0.92566143078269059"/>
          <c:h val="0.85122616748378155"/>
        </c:manualLayout>
      </c:layout>
      <c:barChart>
        <c:barDir val="col"/>
        <c:grouping val="stacked"/>
        <c:varyColors val="0"/>
        <c:ser>
          <c:idx val="1"/>
          <c:order val="0"/>
          <c:tx>
            <c:v>déficit primaire (plus ASF)</c:v>
          </c:tx>
          <c:spPr>
            <a:solidFill>
              <a:srgbClr val="FF0000"/>
            </a:solidFill>
            <a:ln>
              <a:noFill/>
            </a:ln>
            <a:effectLst/>
          </c:spPr>
          <c:invertIfNegative val="0"/>
          <c:cat>
            <c:numRef>
              <c:f>'Series - utilise chgB'!$D$2:$BO$2</c:f>
              <c:numCache>
                <c:formatCode>General</c:formatCode>
                <c:ptCount val="64"/>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numCache>
            </c:numRef>
          </c:cat>
          <c:val>
            <c:numRef>
              <c:f>'Series - utilise chgB'!$D$32:$BO$32</c:f>
              <c:numCache>
                <c:formatCode>0.0%</c:formatCode>
                <c:ptCount val="64"/>
                <c:pt idx="0">
                  <c:v>-1.0007737968142826E-2</c:v>
                </c:pt>
                <c:pt idx="1">
                  <c:v>-1.0118906942392923E-2</c:v>
                </c:pt>
                <c:pt idx="2">
                  <c:v>-9.1272607457912915E-3</c:v>
                </c:pt>
                <c:pt idx="3">
                  <c:v>1.8437972223093145E-3</c:v>
                </c:pt>
                <c:pt idx="4">
                  <c:v>-1.1762070525051266E-2</c:v>
                </c:pt>
                <c:pt idx="5">
                  <c:v>-1.3520644578786208E-2</c:v>
                </c:pt>
                <c:pt idx="6">
                  <c:v>-1.644373988844082E-2</c:v>
                </c:pt>
                <c:pt idx="7">
                  <c:v>9.5852576916634138E-3</c:v>
                </c:pt>
                <c:pt idx="8">
                  <c:v>1.0160048319564413E-3</c:v>
                </c:pt>
                <c:pt idx="9">
                  <c:v>-3.6554785255326575E-3</c:v>
                </c:pt>
                <c:pt idx="10">
                  <c:v>7.3145572721920807E-2</c:v>
                </c:pt>
                <c:pt idx="11">
                  <c:v>4.9702950239671516E-3</c:v>
                </c:pt>
                <c:pt idx="12">
                  <c:v>-8.2349811805453709E-3</c:v>
                </c:pt>
                <c:pt idx="13">
                  <c:v>-1.2467712192540149E-3</c:v>
                </c:pt>
                <c:pt idx="14">
                  <c:v>1.2673794944786224E-2</c:v>
                </c:pt>
                <c:pt idx="15">
                  <c:v>1.4994754871203483E-2</c:v>
                </c:pt>
                <c:pt idx="16">
                  <c:v>3.5653734978651382E-3</c:v>
                </c:pt>
                <c:pt idx="17">
                  <c:v>6.3328323669277382E-3</c:v>
                </c:pt>
                <c:pt idx="18">
                  <c:v>3.0158933780818378E-2</c:v>
                </c:pt>
                <c:pt idx="19">
                  <c:v>3.5938313954948363E-2</c:v>
                </c:pt>
                <c:pt idx="20">
                  <c:v>2.4037913097372566E-2</c:v>
                </c:pt>
                <c:pt idx="21">
                  <c:v>2.020482955381039E-2</c:v>
                </c:pt>
                <c:pt idx="22">
                  <c:v>4.6503808091960794E-2</c:v>
                </c:pt>
                <c:pt idx="23">
                  <c:v>1.8730292446565155E-2</c:v>
                </c:pt>
                <c:pt idx="24">
                  <c:v>2.3181930045401169E-2</c:v>
                </c:pt>
                <c:pt idx="25">
                  <c:v>1.1116698275941762E-2</c:v>
                </c:pt>
                <c:pt idx="26">
                  <c:v>2.5777195075841566E-3</c:v>
                </c:pt>
                <c:pt idx="27">
                  <c:v>1.4316440863895677E-2</c:v>
                </c:pt>
                <c:pt idx="28">
                  <c:v>1.3992423382672245E-3</c:v>
                </c:pt>
                <c:pt idx="29">
                  <c:v>8.6556195286229126E-3</c:v>
                </c:pt>
                <c:pt idx="30">
                  <c:v>4.4328391925934785E-3</c:v>
                </c:pt>
                <c:pt idx="31">
                  <c:v>-5.1549273842293698E-3</c:v>
                </c:pt>
                <c:pt idx="32">
                  <c:v>2.2134762414642933E-2</c:v>
                </c:pt>
                <c:pt idx="33">
                  <c:v>3.6816146128380654E-2</c:v>
                </c:pt>
                <c:pt idx="34">
                  <c:v>1.63878132026746E-2</c:v>
                </c:pt>
                <c:pt idx="35">
                  <c:v>4.478431353235271E-2</c:v>
                </c:pt>
                <c:pt idx="36">
                  <c:v>7.4808387355402139E-3</c:v>
                </c:pt>
                <c:pt idx="37">
                  <c:v>-1.3614103592499308E-3</c:v>
                </c:pt>
                <c:pt idx="38">
                  <c:v>-6.476829578606607E-3</c:v>
                </c:pt>
                <c:pt idx="39">
                  <c:v>-1.5584593565020422E-2</c:v>
                </c:pt>
                <c:pt idx="40">
                  <c:v>-1.3636010104255065E-2</c:v>
                </c:pt>
                <c:pt idx="41">
                  <c:v>-1.2125861396437287E-2</c:v>
                </c:pt>
                <c:pt idx="42">
                  <c:v>7.3754793494763471E-3</c:v>
                </c:pt>
                <c:pt idx="43">
                  <c:v>2.898631602057089E-2</c:v>
                </c:pt>
                <c:pt idx="44">
                  <c:v>1.5614849364942444E-2</c:v>
                </c:pt>
                <c:pt idx="45">
                  <c:v>1.103570124100676E-2</c:v>
                </c:pt>
                <c:pt idx="46">
                  <c:v>-2.2880706176064643E-2</c:v>
                </c:pt>
                <c:pt idx="47">
                  <c:v>4.8265133720691369E-3</c:v>
                </c:pt>
                <c:pt idx="48">
                  <c:v>3.1704795269978617E-2</c:v>
                </c:pt>
                <c:pt idx="49">
                  <c:v>9.7370304613353886E-2</c:v>
                </c:pt>
                <c:pt idx="50">
                  <c:v>2.233911979668109E-2</c:v>
                </c:pt>
                <c:pt idx="51">
                  <c:v>2.5357941166039646E-2</c:v>
                </c:pt>
                <c:pt idx="52">
                  <c:v>1.484868853181057E-2</c:v>
                </c:pt>
                <c:pt idx="53">
                  <c:v>1.8905247049154819E-2</c:v>
                </c:pt>
                <c:pt idx="54">
                  <c:v>9.0512218777400628E-3</c:v>
                </c:pt>
                <c:pt idx="55">
                  <c:v>8.956838328408611E-3</c:v>
                </c:pt>
                <c:pt idx="56">
                  <c:v>6.6298767886724935E-3</c:v>
                </c:pt>
                <c:pt idx="57">
                  <c:v>1.421835400885065E-2</c:v>
                </c:pt>
                <c:pt idx="58">
                  <c:v>7.2187012600146098E-3</c:v>
                </c:pt>
                <c:pt idx="59">
                  <c:v>1.2718475079328828E-2</c:v>
                </c:pt>
                <c:pt idx="60">
                  <c:v>0.10650685640719412</c:v>
                </c:pt>
                <c:pt idx="61">
                  <c:v>5.1964775442245474E-2</c:v>
                </c:pt>
                <c:pt idx="62">
                  <c:v>2.8860683901887497E-2</c:v>
                </c:pt>
                <c:pt idx="63">
                  <c:v>3.4782906502477048E-2</c:v>
                </c:pt>
              </c:numCache>
            </c:numRef>
          </c:val>
          <c:extLst>
            <c:ext xmlns:c16="http://schemas.microsoft.com/office/drawing/2014/chart" uri="{C3380CC4-5D6E-409C-BE32-E72D297353CC}">
              <c16:uniqueId val="{00000000-C766-9649-BAA6-3EBE0F640A16}"/>
            </c:ext>
          </c:extLst>
        </c:ser>
        <c:ser>
          <c:idx val="2"/>
          <c:order val="1"/>
          <c:tx>
            <c:v>terme r-g</c:v>
          </c:tx>
          <c:spPr>
            <a:solidFill>
              <a:schemeClr val="accent3"/>
            </a:solidFill>
            <a:ln>
              <a:noFill/>
            </a:ln>
            <a:effectLst/>
          </c:spPr>
          <c:invertIfNegative val="0"/>
          <c:cat>
            <c:numRef>
              <c:f>'Series - utilise chgB'!$D$2:$BO$2</c:f>
              <c:numCache>
                <c:formatCode>General</c:formatCode>
                <c:ptCount val="64"/>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numCache>
            </c:numRef>
          </c:cat>
          <c:val>
            <c:numRef>
              <c:f>'Series - utilise chgB'!$D$31:$BO$31</c:f>
              <c:numCache>
                <c:formatCode>0.0%</c:formatCode>
                <c:ptCount val="64"/>
                <c:pt idx="0">
                  <c:v>-1.9792262031857254E-2</c:v>
                </c:pt>
                <c:pt idx="1">
                  <c:v>-1.1781093057607057E-2</c:v>
                </c:pt>
                <c:pt idx="2">
                  <c:v>-1.7872739254208708E-2</c:v>
                </c:pt>
                <c:pt idx="3">
                  <c:v>-1.6243797222309314E-2</c:v>
                </c:pt>
                <c:pt idx="4">
                  <c:v>-1.4037929474948762E-2</c:v>
                </c:pt>
                <c:pt idx="5">
                  <c:v>-6.479355421213806E-3</c:v>
                </c:pt>
                <c:pt idx="6">
                  <c:v>-6.3562601115591619E-3</c:v>
                </c:pt>
                <c:pt idx="7">
                  <c:v>-2.1852576916634135E-3</c:v>
                </c:pt>
                <c:pt idx="8">
                  <c:v>-3.2160048319564323E-3</c:v>
                </c:pt>
                <c:pt idx="9">
                  <c:v>-1.0744521474467349E-2</c:v>
                </c:pt>
                <c:pt idx="10">
                  <c:v>-6.8455727219207986E-3</c:v>
                </c:pt>
                <c:pt idx="11">
                  <c:v>-1.457029502396714E-2</c:v>
                </c:pt>
                <c:pt idx="12">
                  <c:v>-1.5265018819454633E-2</c:v>
                </c:pt>
                <c:pt idx="13">
                  <c:v>-1.7553228780745993E-2</c:v>
                </c:pt>
                <c:pt idx="14">
                  <c:v>-1.6773794944786213E-2</c:v>
                </c:pt>
                <c:pt idx="15">
                  <c:v>-8.2947548712035066E-3</c:v>
                </c:pt>
                <c:pt idx="16">
                  <c:v>-1.3465373497865103E-2</c:v>
                </c:pt>
                <c:pt idx="17">
                  <c:v>-7.4328323669277368E-3</c:v>
                </c:pt>
                <c:pt idx="18">
                  <c:v>-7.6589337808183819E-3</c:v>
                </c:pt>
                <c:pt idx="19">
                  <c:v>-1.0138313954948365E-2</c:v>
                </c:pt>
                <c:pt idx="20">
                  <c:v>-1.1305735219248729E-2</c:v>
                </c:pt>
                <c:pt idx="21">
                  <c:v>-7.0794567196583794E-3</c:v>
                </c:pt>
                <c:pt idx="22">
                  <c:v>-1.1563817894765648E-2</c:v>
                </c:pt>
                <c:pt idx="23">
                  <c:v>-3.6222211613341077E-3</c:v>
                </c:pt>
                <c:pt idx="24">
                  <c:v>1.4046066078947303E-3</c:v>
                </c:pt>
                <c:pt idx="25">
                  <c:v>5.2957802363625094E-3</c:v>
                </c:pt>
                <c:pt idx="26">
                  <c:v>3.5346858698142962E-3</c:v>
                </c:pt>
                <c:pt idx="27">
                  <c:v>9.0980669780647769E-3</c:v>
                </c:pt>
                <c:pt idx="28">
                  <c:v>-2.0887370150841945E-3</c:v>
                </c:pt>
                <c:pt idx="29">
                  <c:v>-2.7629219792772372E-4</c:v>
                </c:pt>
                <c:pt idx="30">
                  <c:v>7.8167128111136068E-3</c:v>
                </c:pt>
                <c:pt idx="31">
                  <c:v>1.5235194547860426E-2</c:v>
                </c:pt>
                <c:pt idx="32">
                  <c:v>1.6753965766840281E-2</c:v>
                </c:pt>
                <c:pt idx="33">
                  <c:v>2.815277518751972E-2</c:v>
                </c:pt>
                <c:pt idx="34">
                  <c:v>1.7887819759366437E-2</c:v>
                </c:pt>
                <c:pt idx="35">
                  <c:v>1.8328403780199731E-2</c:v>
                </c:pt>
                <c:pt idx="36">
                  <c:v>2.0008150621727418E-2</c:v>
                </c:pt>
                <c:pt idx="37">
                  <c:v>1.6334002229335214E-2</c:v>
                </c:pt>
                <c:pt idx="38">
                  <c:v>6.5827901520184758E-3</c:v>
                </c:pt>
                <c:pt idx="39">
                  <c:v>8.7548429140158965E-3</c:v>
                </c:pt>
                <c:pt idx="40">
                  <c:v>-2.8353539472321977E-3</c:v>
                </c:pt>
                <c:pt idx="41">
                  <c:v>7.0675600293536381E-3</c:v>
                </c:pt>
                <c:pt idx="42">
                  <c:v>1.1400889628379589E-2</c:v>
                </c:pt>
                <c:pt idx="43">
                  <c:v>1.2418444475472027E-2</c:v>
                </c:pt>
                <c:pt idx="44">
                  <c:v>-2.397049413852062E-4</c:v>
                </c:pt>
                <c:pt idx="45">
                  <c:v>3.6903835312614951E-3</c:v>
                </c:pt>
                <c:pt idx="46">
                  <c:v>-4.2594814208828762E-3</c:v>
                </c:pt>
                <c:pt idx="47">
                  <c:v>-4.4600410022048349E-3</c:v>
                </c:pt>
                <c:pt idx="48">
                  <c:v>1.2038173286266649E-2</c:v>
                </c:pt>
                <c:pt idx="49">
                  <c:v>4.5585465917815551E-2</c:v>
                </c:pt>
                <c:pt idx="50">
                  <c:v>4.8128980992026213E-4</c:v>
                </c:pt>
                <c:pt idx="51">
                  <c:v>6.1095139823444736E-4</c:v>
                </c:pt>
                <c:pt idx="52">
                  <c:v>1.3224879189582867E-2</c:v>
                </c:pt>
                <c:pt idx="53">
                  <c:v>1.0787437244987708E-2</c:v>
                </c:pt>
                <c:pt idx="54">
                  <c:v>7.2555682159385938E-3</c:v>
                </c:pt>
                <c:pt idx="55">
                  <c:v>-1.3945575305970397E-3</c:v>
                </c:pt>
                <c:pt idx="56">
                  <c:v>2.8805810636709072E-3</c:v>
                </c:pt>
                <c:pt idx="57">
                  <c:v>-9.6330200960431274E-3</c:v>
                </c:pt>
                <c:pt idx="58">
                  <c:v>-1.046077615839737E-2</c:v>
                </c:pt>
                <c:pt idx="59">
                  <c:v>-1.5450910652731744E-2</c:v>
                </c:pt>
                <c:pt idx="60">
                  <c:v>6.3164714988447695E-2</c:v>
                </c:pt>
                <c:pt idx="61">
                  <c:v>-7.0772054883083538E-2</c:v>
                </c:pt>
                <c:pt idx="62">
                  <c:v>-3.9410776257430835E-2</c:v>
                </c:pt>
                <c:pt idx="63">
                  <c:v>-4.7609562697033217E-2</c:v>
                </c:pt>
              </c:numCache>
            </c:numRef>
          </c:val>
          <c:extLst>
            <c:ext xmlns:c16="http://schemas.microsoft.com/office/drawing/2014/chart" uri="{C3380CC4-5D6E-409C-BE32-E72D297353CC}">
              <c16:uniqueId val="{00000001-C766-9649-BAA6-3EBE0F640A16}"/>
            </c:ext>
          </c:extLst>
        </c:ser>
        <c:dLbls>
          <c:showLegendKey val="0"/>
          <c:showVal val="0"/>
          <c:showCatName val="0"/>
          <c:showSerName val="0"/>
          <c:showPercent val="0"/>
          <c:showBubbleSize val="0"/>
        </c:dLbls>
        <c:gapWidth val="55"/>
        <c:overlap val="100"/>
        <c:axId val="775052616"/>
        <c:axId val="775053696"/>
      </c:barChart>
      <c:catAx>
        <c:axId val="775052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3696"/>
        <c:crosses val="autoZero"/>
        <c:auto val="1"/>
        <c:lblAlgn val="ctr"/>
        <c:lblOffset val="100"/>
        <c:noMultiLvlLbl val="0"/>
      </c:catAx>
      <c:valAx>
        <c:axId val="7750536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052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dette publique</c:v>
          </c:tx>
          <c:spPr>
            <a:ln w="28575" cap="rnd">
              <a:solidFill>
                <a:schemeClr val="accent1"/>
              </a:solidFill>
              <a:round/>
            </a:ln>
            <a:effectLst/>
          </c:spPr>
          <c:marker>
            <c:symbol val="none"/>
          </c:marker>
          <c:cat>
            <c:numRef>
              <c:f>'Series - utilise deficit public'!$C$2:$BO$2</c:f>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f>'Series - utilise deficit public'!$C$33:$BO$33</c:f>
              <c:numCache>
                <c:formatCode>0.00%</c:formatCode>
                <c:ptCount val="65"/>
                <c:pt idx="0">
                  <c:v>0.31480000000000002</c:v>
                </c:pt>
                <c:pt idx="1">
                  <c:v>0.28499999999999998</c:v>
                </c:pt>
                <c:pt idx="2">
                  <c:v>0.2631</c:v>
                </c:pt>
                <c:pt idx="3">
                  <c:v>0.2361</c:v>
                </c:pt>
                <c:pt idx="4">
                  <c:v>0.22170000000000001</c:v>
                </c:pt>
                <c:pt idx="5">
                  <c:v>0.19589999999999999</c:v>
                </c:pt>
                <c:pt idx="6">
                  <c:v>0.1759</c:v>
                </c:pt>
                <c:pt idx="7">
                  <c:v>0.15310000000000001</c:v>
                </c:pt>
                <c:pt idx="8">
                  <c:v>0.1605</c:v>
                </c:pt>
                <c:pt idx="9">
                  <c:v>0.1583</c:v>
                </c:pt>
                <c:pt idx="10">
                  <c:v>0.1439</c:v>
                </c:pt>
                <c:pt idx="11">
                  <c:v>0.2102</c:v>
                </c:pt>
                <c:pt idx="12">
                  <c:v>0.2006</c:v>
                </c:pt>
                <c:pt idx="13">
                  <c:v>0.17710000000000001</c:v>
                </c:pt>
                <c:pt idx="14">
                  <c:v>0.1583</c:v>
                </c:pt>
                <c:pt idx="15">
                  <c:v>0.1542</c:v>
                </c:pt>
                <c:pt idx="16">
                  <c:v>0.16089999999999999</c:v>
                </c:pt>
                <c:pt idx="17">
                  <c:v>0.151</c:v>
                </c:pt>
                <c:pt idx="18">
                  <c:v>0.14990000000000001</c:v>
                </c:pt>
                <c:pt idx="19">
                  <c:v>0.1724</c:v>
                </c:pt>
                <c:pt idx="20">
                  <c:v>0.19819999999999999</c:v>
                </c:pt>
                <c:pt idx="21">
                  <c:v>0.21024500000000002</c:v>
                </c:pt>
                <c:pt idx="22">
                  <c:v>0.22240400000000002</c:v>
                </c:pt>
                <c:pt idx="23">
                  <c:v>0.25579099999999999</c:v>
                </c:pt>
                <c:pt idx="24">
                  <c:v>0.26921900000000004</c:v>
                </c:pt>
                <c:pt idx="25">
                  <c:v>0.29344999999999999</c:v>
                </c:pt>
                <c:pt idx="26">
                  <c:v>0.30958800000000003</c:v>
                </c:pt>
                <c:pt idx="27">
                  <c:v>0.31527699999999997</c:v>
                </c:pt>
                <c:pt idx="28">
                  <c:v>0.33842500000000003</c:v>
                </c:pt>
                <c:pt idx="29">
                  <c:v>0.33715200000000006</c:v>
                </c:pt>
                <c:pt idx="30">
                  <c:v>0.34435000000000004</c:v>
                </c:pt>
                <c:pt idx="31">
                  <c:v>0.35553499999999999</c:v>
                </c:pt>
                <c:pt idx="32">
                  <c:v>0.363396</c:v>
                </c:pt>
                <c:pt idx="33">
                  <c:v>0.40087400000000001</c:v>
                </c:pt>
                <c:pt idx="34">
                  <c:v>0.46488500000000005</c:v>
                </c:pt>
                <c:pt idx="35">
                  <c:v>0.49768400000000002</c:v>
                </c:pt>
                <c:pt idx="36">
                  <c:v>0.56105899999999997</c:v>
                </c:pt>
                <c:pt idx="37">
                  <c:v>0.59998399999999996</c:v>
                </c:pt>
                <c:pt idx="38">
                  <c:v>0.61424999999999996</c:v>
                </c:pt>
                <c:pt idx="39">
                  <c:v>0.61347399999999996</c:v>
                </c:pt>
                <c:pt idx="40">
                  <c:v>0.60496499999999997</c:v>
                </c:pt>
                <c:pt idx="41">
                  <c:v>0.58882400000000001</c:v>
                </c:pt>
                <c:pt idx="42">
                  <c:v>0.58343900000000004</c:v>
                </c:pt>
                <c:pt idx="43">
                  <c:v>0.60258</c:v>
                </c:pt>
                <c:pt idx="44">
                  <c:v>0.64412700000000001</c:v>
                </c:pt>
                <c:pt idx="45">
                  <c:v>0.65939099999999995</c:v>
                </c:pt>
                <c:pt idx="46">
                  <c:v>0.67382999999999993</c:v>
                </c:pt>
                <c:pt idx="47">
                  <c:v>0.64610800000000002</c:v>
                </c:pt>
                <c:pt idx="48">
                  <c:v>0.64535500000000001</c:v>
                </c:pt>
                <c:pt idx="49">
                  <c:v>0.68778300000000003</c:v>
                </c:pt>
                <c:pt idx="50">
                  <c:v>0.83038900000000004</c:v>
                </c:pt>
                <c:pt idx="51">
                  <c:v>0.85256900000000002</c:v>
                </c:pt>
                <c:pt idx="52">
                  <c:v>0.87834400000000001</c:v>
                </c:pt>
                <c:pt idx="53">
                  <c:v>0.90603999999999996</c:v>
                </c:pt>
                <c:pt idx="54">
                  <c:v>0.93413200000000007</c:v>
                </c:pt>
                <c:pt idx="55">
                  <c:v>0.94888700000000004</c:v>
                </c:pt>
                <c:pt idx="56">
                  <c:v>0.95579700000000001</c:v>
                </c:pt>
                <c:pt idx="57">
                  <c:v>0.97956799999999999</c:v>
                </c:pt>
                <c:pt idx="58">
                  <c:v>0.981321</c:v>
                </c:pt>
                <c:pt idx="59">
                  <c:v>0.97781499999999999</c:v>
                </c:pt>
                <c:pt idx="60">
                  <c:v>0.9745910000000001</c:v>
                </c:pt>
                <c:pt idx="61">
                  <c:v>1.1504220000000001</c:v>
                </c:pt>
                <c:pt idx="62">
                  <c:v>1.1297228987601704</c:v>
                </c:pt>
                <c:pt idx="63">
                  <c:v>1.1191728064046269</c:v>
                </c:pt>
                <c:pt idx="64">
                  <c:v>1.1063461502100709</c:v>
                </c:pt>
              </c:numCache>
            </c:numRef>
          </c:val>
          <c:smooth val="0"/>
          <c:extLst>
            <c:ext xmlns:c16="http://schemas.microsoft.com/office/drawing/2014/chart" uri="{C3380CC4-5D6E-409C-BE32-E72D297353CC}">
              <c16:uniqueId val="{00000000-7FB7-C94F-924B-9ABC8202398B}"/>
            </c:ext>
          </c:extLst>
        </c:ser>
        <c:dLbls>
          <c:showLegendKey val="0"/>
          <c:showVal val="0"/>
          <c:showCatName val="0"/>
          <c:showSerName val="0"/>
          <c:showPercent val="0"/>
          <c:showBubbleSize val="0"/>
        </c:dLbls>
        <c:marker val="1"/>
        <c:smooth val="0"/>
        <c:axId val="738890376"/>
        <c:axId val="738891456"/>
        <c:extLst>
          <c:ext xmlns:c15="http://schemas.microsoft.com/office/drawing/2012/chart" uri="{02D57815-91ED-43cb-92C2-25804820EDAC}">
            <c15:filteredLineSeries>
              <c15:ser>
                <c:idx val="3"/>
                <c:order val="2"/>
                <c:tx>
                  <c:v>dette a r-g=0 (index 1950)</c:v>
                </c:tx>
                <c:spPr>
                  <a:ln w="28575" cap="rnd">
                    <a:solidFill>
                      <a:schemeClr val="accent4"/>
                    </a:solidFill>
                    <a:round/>
                  </a:ln>
                  <a:effectLst/>
                </c:spPr>
                <c:marker>
                  <c:symbol val="none"/>
                </c:marker>
                <c:cat>
                  <c:numRef>
                    <c:extLst>
                      <c:ext uri="{02D57815-91ED-43cb-92C2-25804820EDAC}">
                        <c15:formulaRef>
                          <c15:sqref>'Series - utilise deficit public'!$C$2:$BO$2</c15:sqref>
                        </c15:formulaRef>
                      </c:ext>
                    </c:extLst>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extLst>
                      <c:ext uri="{02D57815-91ED-43cb-92C2-25804820EDAC}">
                        <c15:formulaRef>
                          <c15:sqref>'Series - utilise deficit public'!$C$44:$BL$44</c15:sqref>
                        </c15:formulaRef>
                      </c:ext>
                    </c:extLst>
                    <c:numCache>
                      <c:formatCode>0.00%</c:formatCode>
                      <c:ptCount val="62"/>
                      <c:pt idx="0">
                        <c:v>0.31480000000000002</c:v>
                      </c:pt>
                      <c:pt idx="1">
                        <c:v>0.33749718580518429</c:v>
                      </c:pt>
                      <c:pt idx="2">
                        <c:v>0.31570102627785784</c:v>
                      </c:pt>
                      <c:pt idx="3">
                        <c:v>0.30352480584416019</c:v>
                      </c:pt>
                      <c:pt idx="4">
                        <c:v>0.29041071987996292</c:v>
                      </c:pt>
                      <c:pt idx="5">
                        <c:v>0.27433694417506571</c:v>
                      </c:pt>
                      <c:pt idx="6">
                        <c:v>0.2606955843572123</c:v>
                      </c:pt>
                      <c:pt idx="7">
                        <c:v>0.25130119129223277</c:v>
                      </c:pt>
                      <c:pt idx="8">
                        <c:v>0.24744614634276593</c:v>
                      </c:pt>
                      <c:pt idx="9">
                        <c:v>0.25167922681736227</c:v>
                      </c:pt>
                      <c:pt idx="10">
                        <c:v>0.24335820444404638</c:v>
                      </c:pt>
                      <c:pt idx="11">
                        <c:v>0.2352880680854727</c:v>
                      </c:pt>
                      <c:pt idx="12">
                        <c:v>0.23113733195216982</c:v>
                      </c:pt>
                      <c:pt idx="13">
                        <c:v>0.22332645948353025</c:v>
                      </c:pt>
                      <c:pt idx="14">
                        <c:v>0.21885948268751926</c:v>
                      </c:pt>
                      <c:pt idx="15">
                        <c:v>0.21210582405773826</c:v>
                      </c:pt>
                      <c:pt idx="16">
                        <c:v>0.23227150433042393</c:v>
                      </c:pt>
                      <c:pt idx="17">
                        <c:v>0.24035038567093719</c:v>
                      </c:pt>
                      <c:pt idx="18">
                        <c:v>0.24234316940794454</c:v>
                      </c:pt>
                      <c:pt idx="19">
                        <c:v>0.24999344263198828</c:v>
                      </c:pt>
                      <c:pt idx="20">
                        <c:v>0.24347929180704669</c:v>
                      </c:pt>
                      <c:pt idx="21">
                        <c:v>0.23557261363009821</c:v>
                      </c:pt>
                      <c:pt idx="22">
                        <c:v>0.24264929235594307</c:v>
                      </c:pt>
                      <c:pt idx="23">
                        <c:v>0.25352151009381874</c:v>
                      </c:pt>
                      <c:pt idx="24">
                        <c:v>0.25686195577352944</c:v>
                      </c:pt>
                      <c:pt idx="25">
                        <c:v>0.26090704579799801</c:v>
                      </c:pt>
                      <c:pt idx="26">
                        <c:v>0.26536533937227474</c:v>
                      </c:pt>
                      <c:pt idx="27">
                        <c:v>0.2717918379065174</c:v>
                      </c:pt>
                      <c:pt idx="28">
                        <c:v>0.26730693575308678</c:v>
                      </c:pt>
                      <c:pt idx="29">
                        <c:v>0.26925242950318806</c:v>
                      </c:pt>
                      <c:pt idx="30">
                        <c:v>0.26254712493132576</c:v>
                      </c:pt>
                      <c:pt idx="31">
                        <c:v>0.26019886486484556</c:v>
                      </c:pt>
                      <c:pt idx="32">
                        <c:v>0.26085013970557647</c:v>
                      </c:pt>
                      <c:pt idx="33">
                        <c:v>0.27709618407582787</c:v>
                      </c:pt>
                      <c:pt idx="34">
                        <c:v>0.30849921650940093</c:v>
                      </c:pt>
                      <c:pt idx="35">
                        <c:v>0.32953209563899766</c:v>
                      </c:pt>
                      <c:pt idx="36">
                        <c:v>0.34612361494542571</c:v>
                      </c:pt>
                      <c:pt idx="37">
                        <c:v>0.34954141914996373</c:v>
                      </c:pt>
                      <c:pt idx="38">
                        <c:v>0.3508285707623453</c:v>
                      </c:pt>
                      <c:pt idx="39">
                        <c:v>0.34099053588392275</c:v>
                      </c:pt>
                      <c:pt idx="40">
                        <c:v>0.32658866978694479</c:v>
                      </c:pt>
                      <c:pt idx="41">
                        <c:v>0.31051451781056205</c:v>
                      </c:pt>
                      <c:pt idx="42">
                        <c:v>0.29417268969978322</c:v>
                      </c:pt>
                      <c:pt idx="43">
                        <c:v>0.29592980586279577</c:v>
                      </c:pt>
                      <c:pt idx="44">
                        <c:v>0.3076710208019679</c:v>
                      </c:pt>
                      <c:pt idx="45">
                        <c:v>0.31582351205940112</c:v>
                      </c:pt>
                      <c:pt idx="46">
                        <c:v>0.32236067006053926</c:v>
                      </c:pt>
                      <c:pt idx="47">
                        <c:v>0.32077854825339253</c:v>
                      </c:pt>
                      <c:pt idx="48">
                        <c:v>0.32023717519533018</c:v>
                      </c:pt>
                      <c:pt idx="49">
                        <c:v>0.32409888832234407</c:v>
                      </c:pt>
                      <c:pt idx="50">
                        <c:v>0.37041317312183514</c:v>
                      </c:pt>
                      <c:pt idx="51">
                        <c:v>0.41400685804667547</c:v>
                      </c:pt>
                      <c:pt idx="52">
                        <c:v>0.43849226372466615</c:v>
                      </c:pt>
                      <c:pt idx="53">
                        <c:v>0.46212253252920688</c:v>
                      </c:pt>
                      <c:pt idx="54">
                        <c:v>0.47987908720781391</c:v>
                      </c:pt>
                      <c:pt idx="55">
                        <c:v>0.49732238915011923</c:v>
                      </c:pt>
                      <c:pt idx="56">
                        <c:v>0.51364675124091852</c:v>
                      </c:pt>
                      <c:pt idx="57">
                        <c:v>0.53162825544233216</c:v>
                      </c:pt>
                      <c:pt idx="58">
                        <c:v>0.54391472765553395</c:v>
                      </c:pt>
                      <c:pt idx="59">
                        <c:v>0.54973496422244483</c:v>
                      </c:pt>
                      <c:pt idx="60">
                        <c:v>0.56590145346304066</c:v>
                      </c:pt>
                      <c:pt idx="61">
                        <c:v>0.64317245498515274</c:v>
                      </c:pt>
                    </c:numCache>
                  </c:numRef>
                </c:val>
                <c:smooth val="0"/>
                <c:extLst>
                  <c:ext xmlns:c16="http://schemas.microsoft.com/office/drawing/2014/chart" uri="{C3380CC4-5D6E-409C-BE32-E72D297353CC}">
                    <c16:uniqueId val="{00000003-7FB7-C94F-924B-9ABC8202398B}"/>
                  </c:ext>
                </c:extLst>
              </c15:ser>
            </c15:filteredLineSeries>
            <c15:filteredLineSeries>
              <c15:ser>
                <c:idx val="0"/>
                <c:order val="3"/>
                <c:tx>
                  <c:v>dette a r-g=0 (index 2000)</c:v>
                </c:tx>
                <c:spPr>
                  <a:ln w="28575" cap="rnd">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'Series - utilise deficit public'!$C$2:$BO$2</c15:sqref>
                        </c15:formulaRef>
                      </c:ext>
                    </c:extLst>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extLst xmlns:c15="http://schemas.microsoft.com/office/drawing/2012/chart">
                      <c:ext xmlns:c15="http://schemas.microsoft.com/office/drawing/2012/chart" uri="{02D57815-91ED-43cb-92C2-25804820EDAC}">
                        <c15:formulaRef>
                          <c15:sqref>'Series - utilise deficit public'!$C$46:$BL$46</c15:sqref>
                        </c15:formulaRef>
                      </c:ext>
                    </c:extLst>
                    <c:numCache>
                      <c:formatCode>General</c:formatCode>
                      <c:ptCount val="62"/>
                      <c:pt idx="41" formatCode="0.00%">
                        <c:v>0.59516361927112749</c:v>
                      </c:pt>
                      <c:pt idx="42" formatCode="0.00%">
                        <c:v>0.57882179116034871</c:v>
                      </c:pt>
                      <c:pt idx="43" formatCode="0.00%">
                        <c:v>0.58057890732336126</c:v>
                      </c:pt>
                      <c:pt idx="44" formatCode="0.00%">
                        <c:v>0.59232012226253339</c:v>
                      </c:pt>
                      <c:pt idx="45" formatCode="0.00%">
                        <c:v>0.60047261351996661</c:v>
                      </c:pt>
                      <c:pt idx="46" formatCode="0.00%">
                        <c:v>0.6070097715211048</c:v>
                      </c:pt>
                      <c:pt idx="47" formatCode="0.00%">
                        <c:v>0.60542764971395813</c:v>
                      </c:pt>
                      <c:pt idx="48" formatCode="0.00%">
                        <c:v>0.60488627665589578</c:v>
                      </c:pt>
                      <c:pt idx="49" formatCode="0.00%">
                        <c:v>0.60874798978290967</c:v>
                      </c:pt>
                      <c:pt idx="50" formatCode="0.00%">
                        <c:v>0.65506227458240074</c:v>
                      </c:pt>
                      <c:pt idx="51" formatCode="0.00%">
                        <c:v>0.69865595950724113</c:v>
                      </c:pt>
                      <c:pt idx="52" formatCode="0.00%">
                        <c:v>0.72314136518523187</c:v>
                      </c:pt>
                      <c:pt idx="53" formatCode="0.00%">
                        <c:v>0.74677163398977264</c:v>
                      </c:pt>
                      <c:pt idx="54" formatCode="0.00%">
                        <c:v>0.76452818866837968</c:v>
                      </c:pt>
                      <c:pt idx="55" formatCode="0.00%">
                        <c:v>0.78197149061068505</c:v>
                      </c:pt>
                      <c:pt idx="56" formatCode="0.00%">
                        <c:v>0.7982958527014844</c:v>
                      </c:pt>
                      <c:pt idx="57" formatCode="0.00%">
                        <c:v>0.81627735690289804</c:v>
                      </c:pt>
                      <c:pt idx="58" formatCode="0.00%">
                        <c:v>0.82856382911609983</c:v>
                      </c:pt>
                      <c:pt idx="59" formatCode="0.00%">
                        <c:v>0.83438406568301071</c:v>
                      </c:pt>
                      <c:pt idx="60" formatCode="0.00%">
                        <c:v>0.85055055492360654</c:v>
                      </c:pt>
                      <c:pt idx="61" formatCode="0.00%">
                        <c:v>0.92782155644571862</c:v>
                      </c:pt>
                    </c:numCache>
                  </c:numRef>
                </c:val>
                <c:smooth val="0"/>
                <c:extLst xmlns:c15="http://schemas.microsoft.com/office/drawing/2012/chart">
                  <c:ext xmlns:c16="http://schemas.microsoft.com/office/drawing/2014/chart" uri="{C3380CC4-5D6E-409C-BE32-E72D297353CC}">
                    <c16:uniqueId val="{00000004-7FB7-C94F-924B-9ABC8202398B}"/>
                  </c:ext>
                </c:extLst>
              </c15:ser>
            </c15:filteredLineSeries>
          </c:ext>
        </c:extLst>
      </c:lineChart>
      <c:lineChart>
        <c:grouping val="standard"/>
        <c:varyColors val="0"/>
        <c:ser>
          <c:idx val="4"/>
          <c:order val="4"/>
          <c:tx>
            <c:v>index 1970</c:v>
          </c:tx>
          <c:spPr>
            <a:ln w="28575" cap="rnd">
              <a:solidFill>
                <a:srgbClr val="FFC000"/>
              </a:solidFill>
              <a:prstDash val="dash"/>
              <a:round/>
            </a:ln>
            <a:effectLst/>
          </c:spPr>
          <c:marker>
            <c:symbol val="none"/>
          </c:marker>
          <c:cat>
            <c:numRef>
              <c:f>'Series - utilise deficit public'!$C$2:$BO$2</c:f>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f>'Series - utilise chgB'!$C$71:$BO$71</c:f>
              <c:numCache>
                <c:formatCode>General</c:formatCode>
                <c:ptCount val="65"/>
                <c:pt idx="11" formatCode="0.00%">
                  <c:v>0.2102</c:v>
                </c:pt>
                <c:pt idx="12" formatCode="0.00%">
                  <c:v>0.21517029502396715</c:v>
                </c:pt>
                <c:pt idx="13" formatCode="0.00%">
                  <c:v>0.20693531384342179</c:v>
                </c:pt>
                <c:pt idx="14" formatCode="0.00%">
                  <c:v>0.20568854262416778</c:v>
                </c:pt>
                <c:pt idx="15" formatCode="0.00%">
                  <c:v>0.21836233756895398</c:v>
                </c:pt>
                <c:pt idx="16" formatCode="0.00%">
                  <c:v>0.23335709244015748</c:v>
                </c:pt>
                <c:pt idx="17" formatCode="0.00%">
                  <c:v>0.23692246593802263</c:v>
                </c:pt>
                <c:pt idx="18" formatCode="0.00%">
                  <c:v>0.24325529830495038</c:v>
                </c:pt>
                <c:pt idx="19" formatCode="0.00%">
                  <c:v>0.27341423208576876</c:v>
                </c:pt>
                <c:pt idx="20" formatCode="0.00%">
                  <c:v>0.3093525460407171</c:v>
                </c:pt>
                <c:pt idx="21" formatCode="0.00%">
                  <c:v>0.33339045913808968</c:v>
                </c:pt>
                <c:pt idx="22" formatCode="0.00%">
                  <c:v>0.35359528869190004</c:v>
                </c:pt>
                <c:pt idx="23" formatCode="0.00%">
                  <c:v>0.40009909678386085</c:v>
                </c:pt>
                <c:pt idx="24" formatCode="0.00%">
                  <c:v>0.41882938923042601</c:v>
                </c:pt>
                <c:pt idx="25" formatCode="0.00%">
                  <c:v>0.44201131927582715</c:v>
                </c:pt>
                <c:pt idx="26" formatCode="0.00%">
                  <c:v>0.4531280175517689</c:v>
                </c:pt>
                <c:pt idx="27" formatCode="0.00%">
                  <c:v>0.45570573705935308</c:v>
                </c:pt>
                <c:pt idx="28" formatCode="0.00%">
                  <c:v>0.47002217792324874</c:v>
                </c:pt>
                <c:pt idx="29" formatCode="0.00%">
                  <c:v>0.47142142026151596</c:v>
                </c:pt>
                <c:pt idx="30" formatCode="0.00%">
                  <c:v>0.48007703979013888</c:v>
                </c:pt>
                <c:pt idx="31" formatCode="0.00%">
                  <c:v>0.48450987898273234</c:v>
                </c:pt>
                <c:pt idx="32" formatCode="0.00%">
                  <c:v>0.479354951598503</c:v>
                </c:pt>
                <c:pt idx="33" formatCode="0.00%">
                  <c:v>0.5014897140131459</c:v>
                </c:pt>
                <c:pt idx="34" formatCode="0.00%">
                  <c:v>0.53830586014152659</c:v>
                </c:pt>
                <c:pt idx="35" formatCode="0.00%">
                  <c:v>0.55469367334420117</c:v>
                </c:pt>
                <c:pt idx="36" formatCode="0.00%">
                  <c:v>0.59947798687655385</c:v>
                </c:pt>
                <c:pt idx="37" formatCode="0.00%">
                  <c:v>0.60695882561209402</c:v>
                </c:pt>
                <c:pt idx="38" formatCode="0.00%">
                  <c:v>0.60559741525284405</c:v>
                </c:pt>
                <c:pt idx="39" formatCode="0.00%">
                  <c:v>0.59912058567423743</c:v>
                </c:pt>
                <c:pt idx="40" formatCode="0.00%">
                  <c:v>0.58353599210921703</c:v>
                </c:pt>
                <c:pt idx="41" formatCode="0.00%">
                  <c:v>0.56989998200496195</c:v>
                </c:pt>
                <c:pt idx="42" formatCode="0.00%">
                  <c:v>0.5577741206085246</c:v>
                </c:pt>
                <c:pt idx="43" formatCode="0.00%">
                  <c:v>0.56514959995800096</c:v>
                </c:pt>
                <c:pt idx="44" formatCode="0.00%">
                  <c:v>0.59413591597857185</c:v>
                </c:pt>
                <c:pt idx="45" formatCode="0.00%">
                  <c:v>0.60975076534351424</c:v>
                </c:pt>
                <c:pt idx="46" formatCode="0.00%">
                  <c:v>0.62078646658452097</c:v>
                </c:pt>
                <c:pt idx="47" formatCode="0.00%">
                  <c:v>0.59790576040845633</c:v>
                </c:pt>
                <c:pt idx="48" formatCode="0.00%">
                  <c:v>0.60273227378052552</c:v>
                </c:pt>
                <c:pt idx="49" formatCode="0.00%">
                  <c:v>0.63443706905050412</c:v>
                </c:pt>
                <c:pt idx="50" formatCode="0.00%">
                  <c:v>0.73180737366385795</c:v>
                </c:pt>
                <c:pt idx="51" formatCode="0.00%">
                  <c:v>0.75414649346053908</c:v>
                </c:pt>
                <c:pt idx="52" formatCode="0.00%">
                  <c:v>0.7795044346265787</c:v>
                </c:pt>
                <c:pt idx="53" formatCode="0.00%">
                  <c:v>0.79435312315838924</c:v>
                </c:pt>
                <c:pt idx="54" formatCode="0.00%">
                  <c:v>0.8132583702075441</c:v>
                </c:pt>
                <c:pt idx="55" formatCode="0.00%">
                  <c:v>0.8223095920852842</c:v>
                </c:pt>
                <c:pt idx="56" formatCode="0.00%">
                  <c:v>0.83126643041369286</c:v>
                </c:pt>
                <c:pt idx="57" formatCode="0.00%">
                  <c:v>0.8378963072023653</c:v>
                </c:pt>
                <c:pt idx="58" formatCode="0.00%">
                  <c:v>0.85211466121121593</c:v>
                </c:pt>
                <c:pt idx="59" formatCode="0.00%">
                  <c:v>0.85933336247123049</c:v>
                </c:pt>
                <c:pt idx="60" formatCode="0.00%">
                  <c:v>0.87205183755055926</c:v>
                </c:pt>
                <c:pt idx="61" formatCode="0.00%">
                  <c:v>0.97855869395775341</c:v>
                </c:pt>
                <c:pt idx="62" formatCode="0.00%">
                  <c:v>1.0305234693999989</c:v>
                </c:pt>
                <c:pt idx="63" formatCode="0.00%">
                  <c:v>1.0593841533018864</c:v>
                </c:pt>
                <c:pt idx="64" formatCode="0.00%">
                  <c:v>1.0941670598043634</c:v>
                </c:pt>
              </c:numCache>
            </c:numRef>
          </c:val>
          <c:smooth val="0"/>
          <c:extLst>
            <c:ext xmlns:c16="http://schemas.microsoft.com/office/drawing/2014/chart" uri="{C3380CC4-5D6E-409C-BE32-E72D297353CC}">
              <c16:uniqueId val="{00000001-7FB7-C94F-924B-9ABC8202398B}"/>
            </c:ext>
          </c:extLst>
        </c:ser>
        <c:dLbls>
          <c:showLegendKey val="0"/>
          <c:showVal val="0"/>
          <c:showCatName val="0"/>
          <c:showSerName val="0"/>
          <c:showPercent val="0"/>
          <c:showBubbleSize val="0"/>
        </c:dLbls>
        <c:marker val="1"/>
        <c:smooth val="0"/>
        <c:axId val="855959752"/>
        <c:axId val="855960472"/>
        <c:extLst>
          <c:ext xmlns:c15="http://schemas.microsoft.com/office/drawing/2012/chart" uri="{02D57815-91ED-43cb-92C2-25804820EDAC}">
            <c15:filteredLineSeries>
              <c15:ser>
                <c:idx val="2"/>
                <c:order val="1"/>
                <c:tx>
                  <c:v>deficit primaire</c:v>
                </c:tx>
                <c:spPr>
                  <a:ln w="28575" cap="rnd">
                    <a:solidFill>
                      <a:schemeClr val="accent3"/>
                    </a:solidFill>
                    <a:round/>
                  </a:ln>
                  <a:effectLst/>
                </c:spPr>
                <c:marker>
                  <c:symbol val="none"/>
                </c:marker>
                <c:cat>
                  <c:numRef>
                    <c:extLst>
                      <c:ext uri="{02D57815-91ED-43cb-92C2-25804820EDAC}">
                        <c15:formulaRef>
                          <c15:sqref>'Series - utilise deficit public'!$C$2:$BO$2</c15:sqref>
                        </c15:formulaRef>
                      </c:ext>
                    </c:extLst>
                    <c:numCache>
                      <c:formatCode>0</c:formatCode>
                      <c:ptCount val="65"/>
                      <c:pt idx="0">
                        <c:v>1959</c:v>
                      </c:pt>
                      <c:pt idx="1">
                        <c:v>1960</c:v>
                      </c:pt>
                      <c:pt idx="2">
                        <c:v>1961</c:v>
                      </c:pt>
                      <c:pt idx="3">
                        <c:v>1962</c:v>
                      </c:pt>
                      <c:pt idx="4">
                        <c:v>1963</c:v>
                      </c:pt>
                      <c:pt idx="5">
                        <c:v>1964</c:v>
                      </c:pt>
                      <c:pt idx="6">
                        <c:v>1965</c:v>
                      </c:pt>
                      <c:pt idx="7">
                        <c:v>1966</c:v>
                      </c:pt>
                      <c:pt idx="8">
                        <c:v>1967</c:v>
                      </c:pt>
                      <c:pt idx="9">
                        <c:v>1968</c:v>
                      </c:pt>
                      <c:pt idx="10">
                        <c:v>1969</c:v>
                      </c:pt>
                      <c:pt idx="11">
                        <c:v>1970</c:v>
                      </c:pt>
                      <c:pt idx="12">
                        <c:v>1971</c:v>
                      </c:pt>
                      <c:pt idx="13">
                        <c:v>1972</c:v>
                      </c:pt>
                      <c:pt idx="14">
                        <c:v>1973</c:v>
                      </c:pt>
                      <c:pt idx="15">
                        <c:v>1974</c:v>
                      </c:pt>
                      <c:pt idx="16">
                        <c:v>1975</c:v>
                      </c:pt>
                      <c:pt idx="17">
                        <c:v>1976</c:v>
                      </c:pt>
                      <c:pt idx="18">
                        <c:v>1977</c:v>
                      </c:pt>
                      <c:pt idx="19">
                        <c:v>1978</c:v>
                      </c:pt>
                      <c:pt idx="20">
                        <c:v>1979</c:v>
                      </c:pt>
                      <c:pt idx="21">
                        <c:v>1980</c:v>
                      </c:pt>
                      <c:pt idx="22">
                        <c:v>1981</c:v>
                      </c:pt>
                      <c:pt idx="23">
                        <c:v>1982</c:v>
                      </c:pt>
                      <c:pt idx="24">
                        <c:v>1983</c:v>
                      </c:pt>
                      <c:pt idx="25">
                        <c:v>1984</c:v>
                      </c:pt>
                      <c:pt idx="26">
                        <c:v>1985</c:v>
                      </c:pt>
                      <c:pt idx="27">
                        <c:v>1986</c:v>
                      </c:pt>
                      <c:pt idx="28">
                        <c:v>1987</c:v>
                      </c:pt>
                      <c:pt idx="29">
                        <c:v>1988</c:v>
                      </c:pt>
                      <c:pt idx="30">
                        <c:v>1989</c:v>
                      </c:pt>
                      <c:pt idx="31">
                        <c:v>1990</c:v>
                      </c:pt>
                      <c:pt idx="32">
                        <c:v>1991</c:v>
                      </c:pt>
                      <c:pt idx="33">
                        <c:v>1992</c:v>
                      </c:pt>
                      <c:pt idx="34">
                        <c:v>1993</c:v>
                      </c:pt>
                      <c:pt idx="35">
                        <c:v>1994</c:v>
                      </c:pt>
                      <c:pt idx="36">
                        <c:v>1995</c:v>
                      </c:pt>
                      <c:pt idx="37">
                        <c:v>1996</c:v>
                      </c:pt>
                      <c:pt idx="38">
                        <c:v>1997</c:v>
                      </c:pt>
                      <c:pt idx="39">
                        <c:v>1998</c:v>
                      </c:pt>
                      <c:pt idx="40">
                        <c:v>1999</c:v>
                      </c:pt>
                      <c:pt idx="41">
                        <c:v>2000</c:v>
                      </c:pt>
                      <c:pt idx="42">
                        <c:v>2001</c:v>
                      </c:pt>
                      <c:pt idx="43">
                        <c:v>2002</c:v>
                      </c:pt>
                      <c:pt idx="44">
                        <c:v>2003</c:v>
                      </c:pt>
                      <c:pt idx="45">
                        <c:v>2004</c:v>
                      </c:pt>
                      <c:pt idx="46">
                        <c:v>2005</c:v>
                      </c:pt>
                      <c:pt idx="47">
                        <c:v>2006</c:v>
                      </c:pt>
                      <c:pt idx="48">
                        <c:v>2007</c:v>
                      </c:pt>
                      <c:pt idx="49">
                        <c:v>2008</c:v>
                      </c:pt>
                      <c:pt idx="50">
                        <c:v>2009</c:v>
                      </c:pt>
                      <c:pt idx="51">
                        <c:v>2010</c:v>
                      </c:pt>
                      <c:pt idx="52">
                        <c:v>2011</c:v>
                      </c:pt>
                      <c:pt idx="53">
                        <c:v>2012</c:v>
                      </c:pt>
                      <c:pt idx="54">
                        <c:v>2013</c:v>
                      </c:pt>
                      <c:pt idx="55">
                        <c:v>2014</c:v>
                      </c:pt>
                      <c:pt idx="56">
                        <c:v>2015</c:v>
                      </c:pt>
                      <c:pt idx="57">
                        <c:v>2016</c:v>
                      </c:pt>
                      <c:pt idx="58">
                        <c:v>2017</c:v>
                      </c:pt>
                      <c:pt idx="59">
                        <c:v>2018</c:v>
                      </c:pt>
                      <c:pt idx="60">
                        <c:v>2019</c:v>
                      </c:pt>
                      <c:pt idx="61">
                        <c:v>2020</c:v>
                      </c:pt>
                      <c:pt idx="62">
                        <c:v>2021</c:v>
                      </c:pt>
                      <c:pt idx="63">
                        <c:v>2022</c:v>
                      </c:pt>
                      <c:pt idx="64">
                        <c:v>2023</c:v>
                      </c:pt>
                    </c:numCache>
                  </c:numRef>
                </c:cat>
                <c:val>
                  <c:numRef>
                    <c:extLst>
                      <c:ext uri="{02D57815-91ED-43cb-92C2-25804820EDAC}">
                        <c15:formulaRef>
                          <c15:sqref>'Series - utilise deficit public'!$C$22:$BN$22</c15:sqref>
                        </c15:formulaRef>
                      </c:ext>
                    </c:extLst>
                    <c:numCache>
                      <c:formatCode>0.00%</c:formatCode>
                      <c:ptCount val="64"/>
                      <c:pt idx="1">
                        <c:v>2.2697185805184233E-2</c:v>
                      </c:pt>
                      <c:pt idx="2">
                        <c:v>-2.1796159527326466E-2</c:v>
                      </c:pt>
                      <c:pt idx="3">
                        <c:v>-1.2176220433697642E-2</c:v>
                      </c:pt>
                      <c:pt idx="4">
                        <c:v>-1.3114085964197273E-2</c:v>
                      </c:pt>
                      <c:pt idx="5">
                        <c:v>-1.6073775704897219E-2</c:v>
                      </c:pt>
                      <c:pt idx="6">
                        <c:v>-1.3641359817853431E-2</c:v>
                      </c:pt>
                      <c:pt idx="7">
                        <c:v>-9.3943930649795174E-3</c:v>
                      </c:pt>
                      <c:pt idx="8">
                        <c:v>-3.8550449494668274E-3</c:v>
                      </c:pt>
                      <c:pt idx="9">
                        <c:v>4.2330804745963615E-3</c:v>
                      </c:pt>
                      <c:pt idx="10">
                        <c:v>-8.321022373315879E-3</c:v>
                      </c:pt>
                      <c:pt idx="11">
                        <c:v>-8.070136358573685E-3</c:v>
                      </c:pt>
                      <c:pt idx="12">
                        <c:v>-4.150736133302896E-3</c:v>
                      </c:pt>
                      <c:pt idx="13">
                        <c:v>-7.8108724686395776E-3</c:v>
                      </c:pt>
                      <c:pt idx="14">
                        <c:v>-4.4669767960109951E-3</c:v>
                      </c:pt>
                      <c:pt idx="15">
                        <c:v>-6.7536586297810008E-3</c:v>
                      </c:pt>
                      <c:pt idx="16">
                        <c:v>2.0165680272685674E-2</c:v>
                      </c:pt>
                      <c:pt idx="17">
                        <c:v>8.0788813405132786E-3</c:v>
                      </c:pt>
                      <c:pt idx="18">
                        <c:v>1.9927837370073468E-3</c:v>
                      </c:pt>
                      <c:pt idx="19">
                        <c:v>7.6502732240437445E-3</c:v>
                      </c:pt>
                      <c:pt idx="20">
                        <c:v>-6.5141508249415862E-3</c:v>
                      </c:pt>
                      <c:pt idx="21">
                        <c:v>-7.9066781769484944E-3</c:v>
                      </c:pt>
                      <c:pt idx="22">
                        <c:v>7.0766787258448602E-3</c:v>
                      </c:pt>
                      <c:pt idx="23">
                        <c:v>1.0872217737875665E-2</c:v>
                      </c:pt>
                      <c:pt idx="24">
                        <c:v>3.340445679710694E-3</c:v>
                      </c:pt>
                      <c:pt idx="25">
                        <c:v>4.0450900244685508E-3</c:v>
                      </c:pt>
                      <c:pt idx="26">
                        <c:v>4.4582935742767333E-3</c:v>
                      </c:pt>
                      <c:pt idx="27">
                        <c:v>6.4264985342426624E-3</c:v>
                      </c:pt>
                      <c:pt idx="28">
                        <c:v>-4.4849021534306239E-3</c:v>
                      </c:pt>
                      <c:pt idx="29">
                        <c:v>1.9454937501013016E-3</c:v>
                      </c:pt>
                      <c:pt idx="30">
                        <c:v>-6.7053045718622958E-3</c:v>
                      </c:pt>
                      <c:pt idx="31">
                        <c:v>-2.3482600664801747E-3</c:v>
                      </c:pt>
                      <c:pt idx="32">
                        <c:v>6.512748407308831E-4</c:v>
                      </c:pt>
                      <c:pt idx="33">
                        <c:v>1.6246044370251376E-2</c:v>
                      </c:pt>
                      <c:pt idx="34">
                        <c:v>3.1403032433573036E-2</c:v>
                      </c:pt>
                      <c:pt idx="35">
                        <c:v>2.1032879129596747E-2</c:v>
                      </c:pt>
                      <c:pt idx="36">
                        <c:v>1.6591519306428024E-2</c:v>
                      </c:pt>
                      <c:pt idx="37">
                        <c:v>3.4178042045380427E-3</c:v>
                      </c:pt>
                      <c:pt idx="38">
                        <c:v>1.2871516123815761E-3</c:v>
                      </c:pt>
                      <c:pt idx="39">
                        <c:v>-9.8380348784225559E-3</c:v>
                      </c:pt>
                      <c:pt idx="40">
                        <c:v>-1.4401866096977948E-2</c:v>
                      </c:pt>
                      <c:pt idx="41">
                        <c:v>-1.6074151976382744E-2</c:v>
                      </c:pt>
                      <c:pt idx="42">
                        <c:v>-1.634182811077883E-2</c:v>
                      </c:pt>
                      <c:pt idx="43">
                        <c:v>1.7571161630125691E-3</c:v>
                      </c:pt>
                      <c:pt idx="44">
                        <c:v>1.174121493917212E-2</c:v>
                      </c:pt>
                      <c:pt idx="45">
                        <c:v>8.1524912574332097E-3</c:v>
                      </c:pt>
                      <c:pt idx="46">
                        <c:v>6.5371580011381446E-3</c:v>
                      </c:pt>
                      <c:pt idx="47">
                        <c:v>-1.5821218071467062E-3</c:v>
                      </c:pt>
                      <c:pt idx="48">
                        <c:v>-5.4137305806234274E-4</c:v>
                      </c:pt>
                      <c:pt idx="49">
                        <c:v>3.8617131270138991E-3</c:v>
                      </c:pt>
                      <c:pt idx="50">
                        <c:v>4.6314284799491061E-2</c:v>
                      </c:pt>
                      <c:pt idx="51">
                        <c:v>4.3593684924840351E-2</c:v>
                      </c:pt>
                      <c:pt idx="52">
                        <c:v>2.44854056779907E-2</c:v>
                      </c:pt>
                      <c:pt idx="53">
                        <c:v>2.3630268804540729E-2</c:v>
                      </c:pt>
                      <c:pt idx="54">
                        <c:v>1.7756554678607022E-2</c:v>
                      </c:pt>
                      <c:pt idx="55">
                        <c:v>1.7443301942305325E-2</c:v>
                      </c:pt>
                      <c:pt idx="56">
                        <c:v>1.6324362090799314E-2</c:v>
                      </c:pt>
                      <c:pt idx="57">
                        <c:v>1.79815042014136E-2</c:v>
                      </c:pt>
                      <c:pt idx="58">
                        <c:v>1.2286472213201737E-2</c:v>
                      </c:pt>
                      <c:pt idx="59">
                        <c:v>5.8202365669108424E-3</c:v>
                      </c:pt>
                      <c:pt idx="60">
                        <c:v>1.6166489240595876E-2</c:v>
                      </c:pt>
                      <c:pt idx="61">
                        <c:v>7.7271001522112068E-2</c:v>
                      </c:pt>
                      <c:pt idx="62">
                        <c:v>5.0957149103279795E-2</c:v>
                      </c:pt>
                      <c:pt idx="63">
                        <c:v>2.8821238516883774E-2</c:v>
                      </c:pt>
                    </c:numCache>
                  </c:numRef>
                </c:val>
                <c:smooth val="0"/>
                <c:extLst>
                  <c:ext xmlns:c16="http://schemas.microsoft.com/office/drawing/2014/chart" uri="{C3380CC4-5D6E-409C-BE32-E72D297353CC}">
                    <c16:uniqueId val="{00000002-7FB7-C94F-924B-9ABC8202398B}"/>
                  </c:ext>
                </c:extLst>
              </c15:ser>
            </c15:filteredLineSeries>
          </c:ext>
        </c:extLst>
      </c:lineChart>
      <c:catAx>
        <c:axId val="73889037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91456"/>
        <c:crosses val="autoZero"/>
        <c:auto val="1"/>
        <c:lblAlgn val="ctr"/>
        <c:lblOffset val="100"/>
        <c:tickLblSkip val="7"/>
        <c:noMultiLvlLbl val="0"/>
      </c:catAx>
      <c:valAx>
        <c:axId val="738891456"/>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90376"/>
        <c:crosses val="autoZero"/>
        <c:crossBetween val="between"/>
      </c:valAx>
      <c:valAx>
        <c:axId val="855960472"/>
        <c:scaling>
          <c:orientation val="minMax"/>
          <c:max val="1.2"/>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959752"/>
        <c:crosses val="max"/>
        <c:crossBetween val="between"/>
        <c:majorUnit val="0.2"/>
      </c:valAx>
      <c:catAx>
        <c:axId val="855959752"/>
        <c:scaling>
          <c:orientation val="minMax"/>
        </c:scaling>
        <c:delete val="1"/>
        <c:axPos val="b"/>
        <c:numFmt formatCode="0" sourceLinked="1"/>
        <c:majorTickMark val="out"/>
        <c:minorTickMark val="none"/>
        <c:tickLblPos val="nextTo"/>
        <c:crossAx val="8559604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215D-ECF0-1D44-969E-4BAD1BD3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Auclert</dc:creator>
  <cp:keywords/>
  <dc:description/>
  <cp:lastModifiedBy>Adrien Auclert</cp:lastModifiedBy>
  <cp:revision>12</cp:revision>
  <dcterms:created xsi:type="dcterms:W3CDTF">2024-05-07T17:10:00Z</dcterms:created>
  <dcterms:modified xsi:type="dcterms:W3CDTF">2024-05-09T17:53:00Z</dcterms:modified>
</cp:coreProperties>
</file>