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  <w:b/>
          <w:bCs/>
          <w:color w:val="183B56"/>
          <w:sz w:val="42"/>
          <w:szCs w:val="42"/>
        </w:rPr>
        <w:t xml:space="preserve">滨海医院 GEO 诊断项目工作说明书</w:t>
      </w:r>
    </w:p>
    <w:p>
      <w:pPr>
        <w:pStyle w:val="Subtitle"/>
      </w:pPr>
      <w:r>
        <w:rPr>
          <w:rFonts w:ascii="Microsoft YaHei" w:cs="Microsoft YaHei" w:eastAsia="Microsoft YaHei" w:hAnsi="Microsoft YaHei"/>
          <w:color w:val="5B6573"/>
          <w:sz w:val="23"/>
          <w:szCs w:val="23"/>
        </w:rPr>
        <w:t xml:space="preserve">案件代号：泌尿诊断A  ·  产品线：诊断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6906"/>
      </w:tblGrid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目标区域</w:t>
            </w:r>
          </w:p>
        </w:tc>
        <w:tc>
          <w:tcPr>
            <w:tcW w:type="dxa" w:w="69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泉州南安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69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W（主执行）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项目成员</w:t>
            </w:r>
          </w:p>
        </w:tc>
        <w:tc>
          <w:tcPr>
            <w:tcW w:type="dxa" w:w="69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L（审核与真实手机测评）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FF4C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当前状态</w:t>
            </w:r>
          </w:p>
        </w:tc>
        <w:tc>
          <w:tcPr>
            <w:tcW w:type="dxa" w:w="69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FF4C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01 客户初次洽谈，G0 前；尚未批准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更新日期</w:t>
            </w:r>
          </w:p>
        </w:tc>
        <w:tc>
          <w:tcPr>
            <w:tcW w:type="dxa" w:w="69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2026-08-23</w:t>
            </w:r>
          </w:p>
        </w:tc>
      </w:tr>
    </w:tbl>
    <w:p>
      <w:pPr>
        <w:pStyle w:val="Heading2"/>
        <w:keepNext/>
        <w:spacing w:after="130" w:line="33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一句话定位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9706"/>
      </w:tblGrid>
      <w:tr>
        <w:trPr>
          <w:tblHeader w:val="false"/>
        </w:trPr>
        <w:tc>
          <w:tcPr>
            <w:tcW w:type="dxa" w:w="97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263238"/>
                <w:sz w:val="19"/>
                <w:szCs w:val="19"/>
              </w:rPr>
              <w:t xml:space="preserve">本项目只诊断现状：测量消费级 AI 手机 App 当前如何回答相关无品牌问题、是否正确提及目标机构、回答是否存在医疗与隐私风险，并形成可追溯的基线报告。诊断阶段不改页面、不做内容干预、不承诺推荐或增长。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line="33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1. 项目到底诊断什么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目标机构可见性：无品牌发现型问题中，目标机构是否被提及。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平台差异：豆包、通义千问、DeepSeek、腾讯元宝等平台分别出数，禁止平均成一个“国内 AI 表现”。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医疗安全性：是否把腹痛、绞痛、尿频、尿急、血尿等直接写成结石确诊；警示症状下是否建议及时就医。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地区与隐私边界：只在问题主动提供泉州或南安时观察本地机构提及，不读取或推断精确地址。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证据与准确性：机构信息、科室、引用、卡片和关键事实是否准确且有来源支撑。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6906"/>
      </w:tblGrid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E9F5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263238"/>
                <w:sz w:val="19"/>
                <w:szCs w:val="19"/>
              </w:rPr>
              <w:t xml:space="preserve">主终点</w:t>
            </w:r>
          </w:p>
        </w:tc>
        <w:tc>
          <w:tcPr>
            <w:tcW w:type="dxa" w:w="69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E9F5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263238"/>
                <w:sz w:val="19"/>
                <w:szCs w:val="19"/>
              </w:rPr>
              <w:t xml:space="preserve">无品牌发现问上的目标机构提及概率 p_mention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次要观察</w:t>
            </w:r>
          </w:p>
        </w:tc>
        <w:tc>
          <w:tcPr>
            <w:tcW w:type="dxa" w:w="69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推荐强度、准确性、引用 / 卡片、位置和平台覆盖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CE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非验收结果</w:t>
            </w:r>
          </w:p>
        </w:tc>
        <w:tc>
          <w:tcPr>
            <w:tcW w:type="dxa" w:w="69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CE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咨询量、到诊量、排名和商业增长</w:t>
            </w:r>
          </w:p>
        </w:tc>
      </w:tr>
    </w:tbl>
    <w:p>
      <w:pPr>
        <w:pStyle w:val="Heading1"/>
        <w:keepNext/>
        <w:spacing w:after="130" w:line="33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2. 明确不做的工作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400"/>
        <w:gridCol w:w="5706"/>
      </w:tblGrid>
      <w:tr>
        <w:trPr>
          <w:tblHeader/>
        </w:trPr>
        <w:tc>
          <w:tcPr>
            <w:tcW w:type="dxa" w:w="34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不属于本项目</w:t>
            </w:r>
          </w:p>
        </w:tc>
        <w:tc>
          <w:tcPr>
            <w:tcW w:type="dxa" w:w="57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开发医疗问诊机器人或让 AI 确诊结石</w:t>
            </w:r>
          </w:p>
        </w:tc>
        <w:tc>
          <w:tcPr>
            <w:tcW w:type="dxa" w:w="57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超出 GEO 诊断范围，且存在医疗安全风险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修改官网、百科、公众号、地图或第三方页面</w:t>
            </w:r>
          </w:p>
        </w:tc>
        <w:tc>
          <w:tcPr>
            <w:tcW w:type="dxa" w:w="57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属于干预 / 冲刺；诊断单禁止安排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向平台投喂内容或操控回答</w:t>
            </w:r>
          </w:p>
        </w:tc>
        <w:tc>
          <w:tcPr>
            <w:tcW w:type="dxa" w:w="57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诊断只观察自然状态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自动操作手机 App，或用 API / 网页替代 App</w:t>
            </w:r>
          </w:p>
        </w:tc>
        <w:tc>
          <w:tcPr>
            <w:tcW w:type="dxa" w:w="57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正式主证据必须来自人工真机冷会话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承诺推荐、排名、咨询或到诊增长</w:t>
            </w:r>
          </w:p>
        </w:tc>
        <w:tc>
          <w:tcPr>
            <w:tcW w:type="dxa" w:w="57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诊断只能描述基线，不能作因果承诺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未采噪声就解释涨跌</w:t>
            </w:r>
          </w:p>
        </w:tc>
        <w:tc>
          <w:tcPr>
            <w:tcW w:type="dxa" w:w="57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单次回答有随机性，须先估计自然波动</w:t>
            </w:r>
          </w:p>
        </w:tc>
      </w:tr>
    </w:tbl>
    <w:p>
      <w:pPr>
        <w:spacing w:after="130" w:line="330"/>
      </w:pPr>
      <w:r>
        <w:rPr>
          <w:rFonts w:ascii="Microsoft YaHei" w:cs="Microsoft YaHei" w:eastAsia="Microsoft YaHei" w:hAnsi="Microsoft YaHei"/>
          <w:b/>
          <w:bCs/>
          <w:color w:val="183B56"/>
          <w:sz w:val="21"/>
          <w:szCs w:val="21"/>
        </w:rPr>
        <w:t xml:space="preserve">如需改内容或复测效果，应在本诊断结项后另行评估“冲刺”项目，不能在本单中途升级。</w:t>
      </w:r>
    </w:p>
    <w:p>
      <w:r>
        <w:br w:type="page"/>
      </w:r>
    </w:p>
    <w:p>
      <w:pPr>
        <w:pStyle w:val="Heading1"/>
        <w:keepNext/>
        <w:spacing w:after="130" w:line="33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3. 全流程工作清单</w:t>
      </w:r>
    </w:p>
    <w:p>
      <w:pPr>
        <w:spacing w:after="130" w:line="33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严格按 01 → 02 → 07 → 08 → 03 → 04 → 05 → 06 → 09 推进。前一门未批准，不得提前进入下一站。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900"/>
        <w:gridCol w:w="1550"/>
        <w:gridCol w:w="4100"/>
        <w:gridCol w:w="2556"/>
      </w:tblGrid>
      <w:tr>
        <w:trPr>
          <w:tblHeader/>
        </w:trPr>
        <w:tc>
          <w:tcPr>
            <w:tcW w:type="dxa" w:w="9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55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4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主要工作</w:t>
            </w:r>
          </w:p>
        </w:tc>
        <w:tc>
          <w:tcPr>
            <w:tcW w:type="dxa" w:w="255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出口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01</w:t>
            </w:r>
          </w:p>
        </w:tc>
        <w:tc>
          <w:tcPr>
            <w:tcW w:type="dxa" w:w="155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确认可接</w:t>
            </w:r>
          </w:p>
        </w:tc>
        <w:tc>
          <w:tcPr>
            <w:tcW w:type="dxa" w:w="4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收原话；锁“诊断”；改口医疗、定位和保证推荐风险；形成商机卡 / 范围边界</w:t>
            </w:r>
          </w:p>
        </w:tc>
        <w:tc>
          <w:tcPr>
            <w:tcW w:type="dxa" w:w="255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G0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02</w:t>
            </w:r>
          </w:p>
        </w:tc>
        <w:tc>
          <w:tcPr>
            <w:tcW w:type="dxa" w:w="155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冻结需求</w:t>
            </w:r>
          </w:p>
        </w:tc>
        <w:tc>
          <w:tcPr>
            <w:tcW w:type="dxa" w:w="4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锁 p_mention、need、无品牌问法、平台、地区、竞品、医疗与隐私边界；形成章程 / 规格 / 验收</w:t>
            </w:r>
          </w:p>
        </w:tc>
        <w:tc>
          <w:tcPr>
            <w:tcW w:type="dxa" w:w="255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G1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07</w:t>
            </w:r>
          </w:p>
        </w:tc>
        <w:tc>
          <w:tcPr>
            <w:tcW w:type="dxa" w:w="155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锁预算</w:t>
            </w:r>
          </w:p>
        </w:tc>
        <w:tc>
          <w:tcPr>
            <w:tcW w:type="dxa" w:w="4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按问法×平台×轮次×角色估人时；排除改页、干预、复测效果和确认性 L1</w:t>
            </w:r>
          </w:p>
        </w:tc>
        <w:tc>
          <w:tcPr>
            <w:tcW w:type="dxa" w:w="255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G6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08</w:t>
            </w:r>
          </w:p>
        </w:tc>
        <w:tc>
          <w:tcPr>
            <w:tcW w:type="dxa" w:w="155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锁沟通</w:t>
            </w:r>
          </w:p>
        </w:tc>
        <w:tc>
          <w:tcPr>
            <w:tcW w:type="dxa" w:w="4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登记决策人和节奏；对外只说现状或不能下结论；App 主表、API 附表</w:t>
            </w:r>
          </w:p>
        </w:tc>
        <w:tc>
          <w:tcPr>
            <w:tcW w:type="dxa" w:w="255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G7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03</w:t>
            </w:r>
          </w:p>
        </w:tc>
        <w:tc>
          <w:tcPr>
            <w:tcW w:type="dxa" w:w="155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产生真相</w:t>
            </w:r>
          </w:p>
        </w:tc>
        <w:tc>
          <w:tcPr>
            <w:tcW w:type="dxa" w:w="4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冻结配置；day0；L 真机采噪声和基线；W 评分、抽检、出数；只写描述基线 / 不能下结论</w:t>
            </w:r>
          </w:p>
        </w:tc>
        <w:tc>
          <w:tcPr>
            <w:tcW w:type="dxa" w:w="255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G3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04</w:t>
            </w:r>
          </w:p>
        </w:tc>
        <w:tc>
          <w:tcPr>
            <w:tcW w:type="dxa" w:w="155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固化计划</w:t>
            </w:r>
          </w:p>
        </w:tc>
        <w:tc>
          <w:tcPr>
            <w:tcW w:type="dxa" w:w="4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只登记 day0、noise、baseline；核对预算、人时、WBS、进度和 RACI</w:t>
            </w:r>
          </w:p>
        </w:tc>
        <w:tc>
          <w:tcPr>
            <w:tcW w:type="dxa" w:w="255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G2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05</w:t>
            </w:r>
          </w:p>
        </w:tc>
        <w:tc>
          <w:tcPr>
            <w:tcW w:type="dxa" w:w="155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控制边界</w:t>
            </w:r>
          </w:p>
        </w:tc>
        <w:tc>
          <w:tcPr>
            <w:tcW w:type="dxa" w:w="4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明确无干预；记录缺样和版本异常；周报只复述 03，不解释效果</w:t>
            </w:r>
          </w:p>
        </w:tc>
        <w:tc>
          <w:tcPr>
            <w:tcW w:type="dxa" w:w="255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G5 / N.A.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06</w:t>
            </w:r>
          </w:p>
        </w:tc>
        <w:tc>
          <w:tcPr>
            <w:tcW w:type="dxa" w:w="155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交付验收</w:t>
            </w:r>
          </w:p>
        </w:tc>
        <w:tc>
          <w:tcPr>
            <w:tcW w:type="dxa" w:w="4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提交数据、覆盖、证据清单和客户报告；核对冻结身份和结论一致</w:t>
            </w:r>
          </w:p>
        </w:tc>
        <w:tc>
          <w:tcPr>
            <w:tcW w:type="dxa" w:w="255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G4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09</w:t>
            </w:r>
          </w:p>
        </w:tc>
        <w:tc>
          <w:tcPr>
            <w:tcW w:type="dxa" w:w="155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结项归档</w:t>
            </w:r>
          </w:p>
        </w:tc>
        <w:tc>
          <w:tcPr>
            <w:tcW w:type="dxa" w:w="4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版本、脱敏、资产检查和中转清理；不借结项重开效果结论</w:t>
            </w:r>
          </w:p>
        </w:tc>
        <w:tc>
          <w:tcPr>
            <w:tcW w:type="dxa" w:w="255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G8</w:t>
            </w:r>
          </w:p>
        </w:tc>
      </w:tr>
    </w:tbl>
    <w:p>
      <w:pPr>
        <w:pStyle w:val="Heading1"/>
        <w:keepNext/>
        <w:spacing w:after="130" w:line="33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4. 03 真实手机测量怎么做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W 冻结平台、问题、轮次、城市、账号 / 设备和产品模式，生成唯一 freeze_id。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完成 day0 环境登记：手机、测试账号、定位城市、App 版本和当天产品模式。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L 使用真实手机和干净测试账号执行；P0 默认豆包、通义千问、DeepSeek、腾讯元宝，最终以冻结清单为准。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先在无干预状态下采噪声，再按同一问法采基线；P0 基线通常执行 r1–r3。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每个样本新建会话，逐字输入冻结问题，只问一次、不追问；完整保存正文、卡片、全文和截图。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W 独立评分、核验覆盖、裁定异常并完成规定抽检；L 不作自己样本的唯一最终验收人。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App 与 API 分表；缺任一必测 App 时，报告明确标注“覆盖不完整”。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生成指标、覆盖、证据清单和诊断报告；结论只能为“描述基线”或“不能下结论”。</w:t>
      </w:r>
    </w:p>
    <w:p>
      <w:r>
        <w:br w:type="page"/>
      </w:r>
    </w:p>
    <w:p>
      <w:pPr>
        <w:pStyle w:val="Heading1"/>
        <w:keepNext/>
        <w:spacing w:after="130" w:line="33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5. W 与 L 的职责分工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3353"/>
        <w:gridCol w:w="3353"/>
      </w:tblGrid>
      <w:tr>
        <w:trPr>
          <w:tblHeader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工作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W：负责人 / 主执行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L：审核与真机测评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范围与需求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起草商机卡、章程、规格和验收；推进门上决策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独立审核医疗、隐私、推荐边界和可执行性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预算与沟通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计算人时；起草预算、沟通矩阵和会议材料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审核漏项、越界报价和对外口径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测量准备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冻结配置、发放清单、管理版本和样本身份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核对清单能否在手机上执行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真实 App 采集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不修改 L 的原始回答和截图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亲自完成冷会话、截图、全文和环境登记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评分与抽检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独立评分、异常裁定、覆盖检查和最终验收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说明操作异常，不作自己样本的唯一评分人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报告与收尾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出数、写报告、组织验收、归档</w:t>
            </w:r>
          </w:p>
        </w:tc>
        <w:tc>
          <w:tcPr>
            <w:tcW w:type="dxa" w:w="33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独立复核数据、证据、口径、版本和脱敏</w:t>
            </w:r>
          </w:p>
        </w:tc>
      </w:tr>
    </w:tbl>
    <w:p>
      <w:pPr>
        <w:pStyle w:val="Heading1"/>
        <w:keepNext/>
        <w:spacing w:after="130" w:line="33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6. 真机样本合格标准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真实手机、干净测试账号，定位与合同城市一致。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每个样本新建会话；问题与冻结 queries.csv 完全一致。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一次只问一句，不追问、不纠正、不诱导目标医院出现。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正文、引用和卡片完整加载后，同时保存全文和完整截图。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登记日期、平台、版本、模式、城市、设备 / 账号、问题编号、轮次和操作员。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原始样本进入本案样本目录；旧会话、错城市、改问法或缺文件标记受限 / VOID，不猜测补写。</w:t>
      </w:r>
    </w:p>
    <w:p>
      <w:pPr>
        <w:pStyle w:val="Heading1"/>
        <w:keepNext/>
        <w:spacing w:after="130" w:line="33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7. 最终交付物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100"/>
        <w:gridCol w:w="7006"/>
      </w:tblGrid>
      <w:tr>
        <w:trPr>
          <w:tblHeader/>
        </w:trPr>
        <w:tc>
          <w:tcPr>
            <w:tcW w:type="dxa" w:w="2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70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主要内容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范围合同</w:t>
            </w:r>
          </w:p>
        </w:tc>
        <w:tc>
          <w:tcPr>
            <w:tcW w:type="dxa" w:w="70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商机卡、范围边界、项目章程、需求规格、验收标准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管理文件</w:t>
            </w:r>
          </w:p>
        </w:tc>
        <w:tc>
          <w:tcPr>
            <w:tcW w:type="dxa" w:w="70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预算、沟通矩阵、WBS、进度、RACI、周报和问题记录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测量证据</w:t>
            </w:r>
          </w:p>
        </w:tc>
        <w:tc>
          <w:tcPr>
            <w:tcW w:type="dxa" w:w="70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冻结包、环境登记、App 全文与截图、样本台账、抽检记录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数据文件</w:t>
            </w:r>
          </w:p>
        </w:tc>
        <w:tc>
          <w:tcPr>
            <w:tcW w:type="dxa" w:w="70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metrics_daily.csv、coverage.csv、evidence_manifest.json 和异常记录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客户报告</w:t>
            </w:r>
          </w:p>
        </w:tc>
        <w:tc>
          <w:tcPr>
            <w:tcW w:type="dxa" w:w="70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诊断基线：现状、平台差异、问题、限制和下一步决策建议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验收收尾</w:t>
            </w:r>
          </w:p>
        </w:tc>
        <w:tc>
          <w:tcPr>
            <w:tcW w:type="dxa" w:w="7006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3F5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验收单、结项报告、经验教训、脱敏和资产移交检查</w:t>
            </w:r>
          </w:p>
        </w:tc>
      </w:tr>
    </w:tbl>
    <w:p>
      <w:r>
        <w:br w:type="page"/>
      </w:r>
    </w:p>
    <w:p>
      <w:pPr>
        <w:pStyle w:val="Heading1"/>
        <w:keepNext/>
        <w:spacing w:after="130" w:line="33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8. 完成标准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九个阶段按规定顺序完成并通过相应人工门。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配置已冻结，真机证据可追溯，平台覆盖和异常披露完整。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数据、截图和报告的 project_id、freeze_id 与配置身份一致。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W 与 L 分别完成主执行、真机采集和独立审核，不用同一角色补双签。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最终结论只为“描述基线”或“不能下结论”，不保证推荐、排名或增长。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诊断单没有执行改页、发文、内容建设或其他干预。</w:t>
      </w:r>
    </w:p>
    <w:p>
      <w:pPr>
        <w:pStyle w:val="ListParagraph"/>
        <w:numPr>
          <w:ilvl w:val="0"/>
          <w:numId w:val="2"/>
        </w:numPr>
        <w:spacing w:after="90" w:line="315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客户已接收，项目完成脱敏、归档和资产检查。</w:t>
      </w:r>
    </w:p>
    <w:p>
      <w:pPr>
        <w:pStyle w:val="Heading1"/>
        <w:keepNext/>
        <w:spacing w:after="130" w:line="330"/>
      </w:pPr>
      <w:r>
        <w:rPr>
          <w:rFonts w:ascii="Microsoft YaHei" w:cs="Microsoft YaHei" w:eastAsia="Microsoft YaHei" w:hAnsi="Microsoft YaHei"/>
          <w:color w:val="263238"/>
          <w:sz w:val="21"/>
          <w:szCs w:val="21"/>
        </w:rPr>
        <w:t xml:space="preserve">9. 当前立即任务（G0 前）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553"/>
        <w:gridCol w:w="4553"/>
      </w:tblGrid>
      <w:tr>
        <w:trPr>
          <w:tblHeader/>
        </w:trPr>
        <w:tc>
          <w:tcPr>
            <w:tcW w:type="dxa" w:w="45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W 现在做</w:t>
            </w:r>
          </w:p>
        </w:tc>
        <w:tc>
          <w:tcPr>
            <w:tcW w:type="dxa" w:w="45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183B5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L 现在做</w:t>
            </w:r>
          </w:p>
        </w:tc>
      </w:tr>
      <w:tr>
        <w:trPr>
          <w:tblHeader w:val="false"/>
        </w:trPr>
        <w:tc>
          <w:tcPr>
            <w:tcW w:type="dxa" w:w="45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FF4C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确认禁售已读；接受“不确诊、不擅自定位、不保证推荐”的改口；补决策人和竞品披露；审商机卡 / 范围边界并决定 G0。</w:t>
            </w:r>
          </w:p>
        </w:tc>
        <w:tc>
          <w:tcPr>
            <w:tcW w:type="dxa" w:w="4553"/>
            <w:tcBorders>
              <w:top w:val="single" w:color="CDD5DD" w:sz="1"/>
              <w:left w:val="single" w:color="CDD5DD" w:sz="1"/>
              <w:bottom w:val="single" w:color="CDD5DD" w:sz="1"/>
              <w:right w:val="single" w:color="CDD5DD" w:sz="1"/>
            </w:tcBorders>
            <w:shd w:fill="FFF4C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9"/>
                <w:szCs w:val="19"/>
              </w:rPr>
              <w:t xml:space="preserve">独立检查完整、正确、一致、可追溯、可执行；重点审核医疗、隐私、推荐风险；提交“通过 / 要改 + 理由”；G0 前不采手机。</w:t>
            </w:r>
          </w:p>
        </w:tc>
      </w:tr>
    </w:tbl>
    <w:p>
      <w:pPr>
        <w:spacing w:after="130" w:line="330"/>
      </w:pPr>
      <w:r>
        <w:rPr>
          <w:rFonts w:ascii="Microsoft YaHei" w:cs="Microsoft YaHei" w:eastAsia="Microsoft YaHei" w:hAnsi="Microsoft YaHei"/>
          <w:color w:val="5B6573"/>
          <w:sz w:val="21"/>
          <w:szCs w:val="21"/>
        </w:rPr>
        <w:t xml:space="preserve">本阶段草稿：agent_pm/cases/泌尿诊断A/out/01/</w:t>
      </w:r>
    </w:p>
    <w:p>
      <w:pPr>
        <w:spacing w:after="130" w:line="330"/>
      </w:pPr>
      <w:r>
        <w:rPr>
          <w:rFonts w:ascii="Microsoft YaHei" w:cs="Microsoft YaHei" w:eastAsia="Microsoft YaHei" w:hAnsi="Microsoft YaHei"/>
          <w:color w:val="5B6573"/>
          <w:sz w:val="21"/>
          <w:szCs w:val="21"/>
        </w:rPr>
        <w:t xml:space="preserve">原始材料：流程/10 项目文件/案件/泌尿诊断A/原始/01/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5B6573"/>
        <w:sz w:val="16"/>
        <w:szCs w:val="16"/>
      </w:rPr>
      <w:t xml:space="preserve">G0 前工作草案  |  第 </w:t>
    </w:r>
    <w:r>
      <w:rPr>
        <w:rFonts w:ascii="Arial" w:cs="Arial" w:eastAsia="Arial" w:hAnsi="Arial"/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B657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75B5" w:sz="4" w:space="3"/>
      </w:pBdr>
    </w:pPr>
    <w:r>
      <w:rPr>
        <w:rFonts w:ascii="Microsoft YaHei" w:cs="Microsoft YaHei" w:eastAsia="Microsoft YaHei" w:hAnsi="Microsoft YaHei"/>
        <w:color w:val="5B6573"/>
        <w:sz w:val="17"/>
        <w:szCs w:val="17"/>
      </w:rPr>
      <w:t xml:space="preserve">滨海医院 GEO 诊断项目工作说明书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3238"/>
        <w:sz w:val="21"/>
        <w:szCs w:val="21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 w:before="500"/>
      <w:jc w:val="center"/>
    </w:pPr>
    <w:rPr>
      <w:rFonts w:ascii="Microsoft YaHei" w:cs="Microsoft YaHei" w:eastAsia="Microsoft YaHei" w:hAnsi="Microsoft YaHei"/>
      <w:b/>
      <w:bCs/>
      <w:color w:val="183B56"/>
      <w:sz w:val="42"/>
      <w:szCs w:val="42"/>
    </w:rPr>
  </w:style>
  <w:style w:type="paragraph" w:styleId="Subtitle">
    <w:name w:val="Subtitle"/>
    <w:basedOn w:val="Normal"/>
    <w:next w:val="Normal"/>
    <w:qFormat/>
    <w:pPr>
      <w:spacing w:after="360"/>
      <w:jc w:val="center"/>
    </w:pPr>
    <w:rPr>
      <w:rFonts w:ascii="Microsoft YaHei" w:cs="Microsoft YaHei" w:eastAsia="Microsoft YaHei" w:hAnsi="Microsoft YaHei"/>
      <w:color w:val="5B6573"/>
      <w:sz w:val="23"/>
      <w:szCs w:val="23"/>
    </w:rPr>
  </w:style>
  <w:style w:type="paragraph" w:styleId="Heading1">
    <w:name w:val="Heading 1"/>
    <w:basedOn w:val="Normal"/>
    <w:next w:val="Normal"/>
    <w:qFormat/>
    <w:pPr>
      <w:pBdr>
        <w:bottom w:val="single" w:color="2F75B5" w:sz="5" w:space="4"/>
      </w:pBdr>
      <w:spacing w:after="130" w:before="260"/>
      <w:outlineLvl w:val="0"/>
    </w:pPr>
    <w:rPr>
      <w:rFonts w:ascii="Microsoft YaHei" w:cs="Microsoft YaHei" w:eastAsia="Microsoft YaHei" w:hAnsi="Microsoft YaHei"/>
      <w:b/>
      <w:bCs/>
      <w:color w:val="183B56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90"/>
      <w:outlineLvl w:val="1"/>
    </w:pPr>
    <w:rPr>
      <w:rFonts w:ascii="Microsoft YaHei" w:cs="Microsoft YaHei" w:eastAsia="Microsoft YaHei" w:hAnsi="Microsoft YaHei"/>
      <w:b/>
      <w:bCs/>
      <w:color w:val="2F75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2026-08-23T08:15:06.764Z</dcterms:created>
  <dcterms:modified xsi:type="dcterms:W3CDTF">2026-08-23T08:15:06.767Z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