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32" w:rsidRDefault="009E408F">
      <w:r>
        <w:t>Dokumentation der Nachfragebildung</w:t>
      </w:r>
    </w:p>
    <w:p w:rsidR="009E408F" w:rsidRDefault="009E408F" w:rsidP="009E408F"/>
    <w:p w:rsidR="009E408F" w:rsidRDefault="009E408F" w:rsidP="009E408F">
      <w:r>
        <w:t>Übergeordnete Fragestellung: Wie hoch ist der (zukünftige) Stromverbrauch von Großunternehmen in der EU nach Sektoren und Ländern?</w:t>
      </w:r>
    </w:p>
    <w:p w:rsidR="009E408F" w:rsidRDefault="009E408F" w:rsidP="009E408F">
      <w:r>
        <w:t>Hierzu müssen zunächst vergangene Daten betrachtet werden.</w:t>
      </w:r>
    </w:p>
    <w:p w:rsidR="009E408F" w:rsidRDefault="009E408F" w:rsidP="009E408F">
      <w:r>
        <w:t>Datenquellen sind:</w:t>
      </w:r>
    </w:p>
    <w:p w:rsidR="009E408F" w:rsidRDefault="009E408F" w:rsidP="009E408F">
      <w:pPr>
        <w:pStyle w:val="Listenabsatz"/>
        <w:numPr>
          <w:ilvl w:val="0"/>
          <w:numId w:val="2"/>
        </w:numPr>
      </w:pPr>
      <w:proofErr w:type="spellStart"/>
      <w:r>
        <w:t>Eurostat</w:t>
      </w:r>
      <w:proofErr w:type="spellEnd"/>
      <w:r>
        <w:t xml:space="preserve"> </w:t>
      </w:r>
      <w:proofErr w:type="spellStart"/>
      <w:r>
        <w:rPr>
          <w:i/>
        </w:rPr>
        <w:t>nrg_cb_e</w:t>
      </w:r>
      <w:proofErr w:type="spellEnd"/>
      <w:r>
        <w:t xml:space="preserve"> für </w:t>
      </w:r>
      <w:proofErr w:type="gramStart"/>
      <w:r>
        <w:t xml:space="preserve">die </w:t>
      </w:r>
      <w:proofErr w:type="spellStart"/>
      <w:r>
        <w:t>Verbrauche</w:t>
      </w:r>
      <w:proofErr w:type="spellEnd"/>
      <w:proofErr w:type="gramEnd"/>
      <w:r>
        <w:t xml:space="preserve"> an Elektrizität der Industrie, Haushalte und Dienstleistungsunternehmen, aufgeteilt nach </w:t>
      </w:r>
      <w:r w:rsidR="00F618F5">
        <w:t>eigener</w:t>
      </w:r>
      <w:r>
        <w:t xml:space="preserve"> Kategorien</w:t>
      </w:r>
      <w:r w:rsidR="00F618F5">
        <w:t xml:space="preserve"> (EN-Kat.)</w:t>
      </w:r>
    </w:p>
    <w:p w:rsidR="009E408F" w:rsidRDefault="009E408F" w:rsidP="009E408F">
      <w:pPr>
        <w:pStyle w:val="Listenabsatz"/>
        <w:numPr>
          <w:ilvl w:val="0"/>
          <w:numId w:val="2"/>
        </w:numPr>
      </w:pPr>
      <w:proofErr w:type="spellStart"/>
      <w:r>
        <w:t>Eurostat</w:t>
      </w:r>
      <w:proofErr w:type="spellEnd"/>
      <w:r>
        <w:t xml:space="preserve"> </w:t>
      </w:r>
      <w:r>
        <w:rPr>
          <w:i/>
        </w:rPr>
        <w:t>sbs_na_dt_r2</w:t>
      </w:r>
      <w:r>
        <w:t xml:space="preserve"> für die Unternehmensstatistik des Handels</w:t>
      </w:r>
    </w:p>
    <w:p w:rsidR="009E408F" w:rsidRDefault="009E408F" w:rsidP="009E408F">
      <w:pPr>
        <w:pStyle w:val="Listenabsatz"/>
        <w:numPr>
          <w:ilvl w:val="0"/>
          <w:numId w:val="2"/>
        </w:numPr>
      </w:pPr>
      <w:proofErr w:type="spellStart"/>
      <w:r>
        <w:t>Eurostat</w:t>
      </w:r>
      <w:proofErr w:type="spellEnd"/>
      <w:r>
        <w:t xml:space="preserve"> </w:t>
      </w:r>
      <w:r>
        <w:rPr>
          <w:i/>
        </w:rPr>
        <w:t>sbs_sc_ind_r2</w:t>
      </w:r>
      <w:r>
        <w:t xml:space="preserve"> für Unternehmensstatistik der Industrie</w:t>
      </w:r>
    </w:p>
    <w:p w:rsidR="009E408F" w:rsidRDefault="009E408F" w:rsidP="009E408F">
      <w:pPr>
        <w:pStyle w:val="Listenabsatz"/>
        <w:numPr>
          <w:ilvl w:val="1"/>
          <w:numId w:val="2"/>
        </w:numPr>
      </w:pPr>
      <w:r>
        <w:t>Hier gibt es zwei Tabellen: Die erste Tabe</w:t>
      </w:r>
      <w:r w:rsidR="00F618F5">
        <w:t>lle listet die Anzahl der Unternehmen nach UN-Größe (Bemessen an Anzahl der Mitarbeiter) und NACE-Kategorie</w:t>
      </w:r>
    </w:p>
    <w:p w:rsidR="00F618F5" w:rsidRDefault="00F618F5" w:rsidP="009E408F">
      <w:pPr>
        <w:pStyle w:val="Listenabsatz"/>
        <w:numPr>
          <w:ilvl w:val="1"/>
          <w:numId w:val="2"/>
        </w:numPr>
      </w:pPr>
      <w:r>
        <w:t xml:space="preserve">Die zweite Tabelle listet den </w:t>
      </w:r>
      <w:proofErr w:type="spellStart"/>
      <w:r>
        <w:t>kum</w:t>
      </w:r>
      <w:proofErr w:type="spellEnd"/>
      <w:r>
        <w:t>. Umsatz der Unternehmen nach UN-Größe und NACE-Kategorie</w:t>
      </w:r>
    </w:p>
    <w:p w:rsidR="00F618F5" w:rsidRDefault="00F618F5" w:rsidP="00F618F5">
      <w:pPr>
        <w:pStyle w:val="Listenabsatz"/>
        <w:numPr>
          <w:ilvl w:val="0"/>
          <w:numId w:val="2"/>
        </w:numPr>
      </w:pPr>
      <w:proofErr w:type="spellStart"/>
      <w:r>
        <w:t>Eurostat</w:t>
      </w:r>
      <w:proofErr w:type="spellEnd"/>
      <w:r>
        <w:t xml:space="preserve"> </w:t>
      </w:r>
      <w:r w:rsidRPr="00F618F5">
        <w:rPr>
          <w:i/>
        </w:rPr>
        <w:t>nrg_pc_205</w:t>
      </w:r>
      <w:r>
        <w:t xml:space="preserve"> für die Strompreise nach Verbrauchsmenge pro Land pro Halbjahr. Weil alle anderen Daten nur auf jährlicher Basis vorliegen, wird hier das arithmetische Mittel des jeweiligen Jahres für die Ermittlung der Strompreise verwendet</w:t>
      </w:r>
    </w:p>
    <w:p w:rsidR="006248A8" w:rsidRDefault="006248A8" w:rsidP="006248A8">
      <w:pPr>
        <w:pStyle w:val="Listenabsatz"/>
        <w:numPr>
          <w:ilvl w:val="0"/>
          <w:numId w:val="2"/>
        </w:numPr>
      </w:pPr>
      <w:r>
        <w:t xml:space="preserve">Die Extraktion der Daten erfolgte mittels VBA-Skript. Vgl. hierzu </w:t>
      </w:r>
      <w:r w:rsidRPr="006248A8">
        <w:t>VBA Makro zur Kategorienzuordnung der Strompreise</w:t>
      </w:r>
      <w:r>
        <w:t>.txt</w:t>
      </w:r>
    </w:p>
    <w:p w:rsidR="00F618F5" w:rsidRDefault="00F618F5" w:rsidP="00F618F5">
      <w:r>
        <w:t>Vorgehen.</w:t>
      </w:r>
    </w:p>
    <w:p w:rsidR="00F618F5" w:rsidRDefault="00F618F5" w:rsidP="00F618F5">
      <w:pPr>
        <w:pStyle w:val="Listenabsatz"/>
        <w:numPr>
          <w:ilvl w:val="0"/>
          <w:numId w:val="3"/>
        </w:numPr>
      </w:pPr>
      <w:proofErr w:type="spellStart"/>
      <w:r>
        <w:t>Matching</w:t>
      </w:r>
      <w:proofErr w:type="spellEnd"/>
      <w:r>
        <w:t xml:space="preserve"> </w:t>
      </w:r>
      <w:proofErr w:type="gramStart"/>
      <w:r>
        <w:t>der Verbrauche</w:t>
      </w:r>
      <w:proofErr w:type="gramEnd"/>
      <w:r>
        <w:t xml:space="preserve"> mit den Unternehmensdaten</w:t>
      </w:r>
    </w:p>
    <w:p w:rsidR="00F618F5" w:rsidRDefault="00F618F5" w:rsidP="00F618F5">
      <w:pPr>
        <w:ind w:left="720"/>
      </w:pPr>
      <w:r>
        <w:t xml:space="preserve">Hierzu mussten zunächst die EN-Kat. mit den </w:t>
      </w:r>
      <w:r w:rsidR="00096072">
        <w:t>NACE-Kategorien angeglichen werden</w:t>
      </w:r>
    </w:p>
    <w:p w:rsidR="00096072" w:rsidRDefault="00096072" w:rsidP="00F618F5">
      <w:pPr>
        <w:ind w:left="720"/>
      </w:pPr>
      <w:r>
        <w:t xml:space="preserve">Dies geschah mithilfe des Dokuments </w:t>
      </w:r>
      <w:proofErr w:type="spellStart"/>
      <w:r>
        <w:rPr>
          <w:i/>
        </w:rPr>
        <w:t>Energy</w:t>
      </w:r>
      <w:proofErr w:type="spellEnd"/>
      <w:r>
        <w:rPr>
          <w:i/>
        </w:rPr>
        <w:t xml:space="preserve"> Balance Guide </w:t>
      </w:r>
      <w:proofErr w:type="spellStart"/>
      <w:r>
        <w:rPr>
          <w:i/>
        </w:rPr>
        <w:t>Draft</w:t>
      </w:r>
      <w:proofErr w:type="spellEnd"/>
      <w:r>
        <w:rPr>
          <w:i/>
        </w:rPr>
        <w:t xml:space="preserve"> (31.01.2019)</w:t>
      </w:r>
      <w:r>
        <w:t>, S. 31ff</w:t>
      </w:r>
    </w:p>
    <w:p w:rsidR="00096072" w:rsidRDefault="00096072" w:rsidP="00F618F5">
      <w:pPr>
        <w:ind w:left="720"/>
      </w:pPr>
      <w:r>
        <w:t xml:space="preserve">Zusammenführung ist hier zu finden: </w:t>
      </w:r>
      <w:r w:rsidRPr="00096072">
        <w:t>20200528_Eurostat Sektoren nach Tabellen_v04_aw</w:t>
      </w:r>
    </w:p>
    <w:p w:rsidR="00096072" w:rsidRDefault="00096072" w:rsidP="00096072">
      <w:pPr>
        <w:pStyle w:val="Listenabsatz"/>
        <w:numPr>
          <w:ilvl w:val="0"/>
          <w:numId w:val="3"/>
        </w:numPr>
      </w:pPr>
      <w:r>
        <w:t>Aufbereiten der Stromverbräuche nach NACE-Kategorien.</w:t>
      </w:r>
    </w:p>
    <w:p w:rsidR="00096072" w:rsidRDefault="00096072" w:rsidP="00096072">
      <w:pPr>
        <w:pStyle w:val="Listenabsatz"/>
      </w:pPr>
      <w:r>
        <w:t>Dies geschah auf Basis des anteiligen Umsatzes. Es wurde für die EN-Kat. Mithilfe der oben gemachten Aggregation der Gesamtumsatz gebildet und darauf aufbauend ein Prozentsatz pro NACE-Kategorie, Land, Jahr gebildet. Auf Basis dieser Werte konnte der Elektrizitätsverbrauch für jede NACE-Kategorie gebildet werden.</w:t>
      </w:r>
    </w:p>
    <w:p w:rsidR="00096072" w:rsidRDefault="00096072" w:rsidP="00096072">
      <w:pPr>
        <w:pStyle w:val="Listenabsatz"/>
      </w:pPr>
      <w:r>
        <w:t xml:space="preserve">Vgl. hierzu: </w:t>
      </w:r>
      <w:r w:rsidRPr="00096072">
        <w:rPr>
          <w:i/>
        </w:rPr>
        <w:t>20200623_Stromverbrauch und Kosten Industrie Unternehmen nach Größe und Umsatz_v02_aw_Zusammenführung</w:t>
      </w:r>
      <w:r>
        <w:rPr>
          <w:i/>
        </w:rPr>
        <w:t xml:space="preserve"> </w:t>
      </w:r>
      <w:r>
        <w:t xml:space="preserve">Tab. </w:t>
      </w:r>
      <w:r>
        <w:rPr>
          <w:b/>
        </w:rPr>
        <w:t>Berechnung Anteile</w:t>
      </w:r>
    </w:p>
    <w:p w:rsidR="00096072" w:rsidRDefault="00096072" w:rsidP="00096072">
      <w:pPr>
        <w:pStyle w:val="Listenabsatz"/>
        <w:numPr>
          <w:ilvl w:val="0"/>
          <w:numId w:val="3"/>
        </w:numPr>
      </w:pPr>
      <w:r>
        <w:t>Bildung des Anteils von Großunternehmen</w:t>
      </w:r>
    </w:p>
    <w:p w:rsidR="00096072" w:rsidRDefault="00096072" w:rsidP="00096072">
      <w:pPr>
        <w:pStyle w:val="Listenabsatz"/>
      </w:pPr>
      <w:r>
        <w:t>Laut Definition sind Großunternehmen solche, die mehr als 250 Mitarbeiter haben</w:t>
      </w:r>
    </w:p>
    <w:p w:rsidR="00096072" w:rsidRDefault="00096072" w:rsidP="00096072">
      <w:pPr>
        <w:pStyle w:val="Listenabsatz"/>
      </w:pPr>
      <w:r>
        <w:t xml:space="preserve">Die Berechnung erfolgt analog auf Basis der aus </w:t>
      </w:r>
      <w:r>
        <w:rPr>
          <w:i/>
        </w:rPr>
        <w:t>sbs_sc_ind_r2</w:t>
      </w:r>
      <w:r>
        <w:t xml:space="preserve"> verfügbaren Daten zur Anzahl an Unternehmen verschiedener Kategorie. So werden die Anteile der Großunternehmen am Verbrauch des gesamten NACE-Sektors berechnet.</w:t>
      </w:r>
    </w:p>
    <w:p w:rsidR="00096072" w:rsidRDefault="00096072" w:rsidP="00096072">
      <w:pPr>
        <w:pStyle w:val="Listenabsatz"/>
        <w:rPr>
          <w:b/>
        </w:rPr>
      </w:pPr>
      <w:r>
        <w:t xml:space="preserve">Vgl. hierzu: </w:t>
      </w:r>
      <w:r w:rsidRPr="00096072">
        <w:rPr>
          <w:i/>
        </w:rPr>
        <w:t>20200623_Stromverbrauch und Kosten Industrie Unternehmen nach Größe und Umsatz_v02_aw_Zusammenführung</w:t>
      </w:r>
      <w:r>
        <w:rPr>
          <w:i/>
        </w:rPr>
        <w:t xml:space="preserve"> </w:t>
      </w:r>
      <w:r>
        <w:t xml:space="preserve">Tab. </w:t>
      </w:r>
      <w:r>
        <w:rPr>
          <w:b/>
        </w:rPr>
        <w:t xml:space="preserve">Anteil UN &gt; 250 MA am </w:t>
      </w:r>
      <w:proofErr w:type="spellStart"/>
      <w:r>
        <w:rPr>
          <w:b/>
        </w:rPr>
        <w:t>Umat</w:t>
      </w:r>
      <w:proofErr w:type="spellEnd"/>
    </w:p>
    <w:p w:rsidR="00096072" w:rsidRDefault="00096072" w:rsidP="00096072">
      <w:pPr>
        <w:pStyle w:val="Listenabsatz"/>
        <w:numPr>
          <w:ilvl w:val="0"/>
          <w:numId w:val="3"/>
        </w:numPr>
      </w:pPr>
      <w:r>
        <w:t>Berechnung des Stromverbrauchs von Großunternehmen</w:t>
      </w:r>
    </w:p>
    <w:p w:rsidR="00096072" w:rsidRDefault="00096072" w:rsidP="00096072">
      <w:pPr>
        <w:pStyle w:val="Listenabsatz"/>
      </w:pPr>
      <w:r>
        <w:t>Auf Basis der in 3. berechneten Anteile konnten die Stromverbrauche von Großunternehmen pro NACE-Kategorie pro Land pro Jahr ermittelt werden.</w:t>
      </w:r>
    </w:p>
    <w:p w:rsidR="00096072" w:rsidRDefault="00096072" w:rsidP="00096072">
      <w:pPr>
        <w:pStyle w:val="Listenabsatz"/>
        <w:rPr>
          <w:b/>
        </w:rPr>
      </w:pPr>
      <w:r>
        <w:t xml:space="preserve">Vgl. hierzu: </w:t>
      </w:r>
      <w:r w:rsidRPr="00096072">
        <w:rPr>
          <w:i/>
        </w:rPr>
        <w:t>20200623_Stromverbrauch und Kosten Industrie Unternehmen nach Größe und Umsatz_v02_aw_Zusammenführung</w:t>
      </w:r>
      <w:r>
        <w:rPr>
          <w:i/>
        </w:rPr>
        <w:t xml:space="preserve"> </w:t>
      </w:r>
      <w:r>
        <w:t xml:space="preserve">Tab. </w:t>
      </w:r>
      <w:r>
        <w:rPr>
          <w:b/>
        </w:rPr>
        <w:t xml:space="preserve">Allokation </w:t>
      </w:r>
      <w:proofErr w:type="spellStart"/>
      <w:r>
        <w:rPr>
          <w:b/>
        </w:rPr>
        <w:t>El</w:t>
      </w:r>
      <w:proofErr w:type="spellEnd"/>
      <w:r>
        <w:rPr>
          <w:b/>
        </w:rPr>
        <w:t>-Verbrauch</w:t>
      </w:r>
    </w:p>
    <w:p w:rsidR="00096072" w:rsidRDefault="00096072" w:rsidP="006248A8">
      <w:pPr>
        <w:pStyle w:val="Listenabsatz"/>
        <w:numPr>
          <w:ilvl w:val="0"/>
          <w:numId w:val="3"/>
        </w:numPr>
      </w:pPr>
      <w:r>
        <w:t>Ermittlung des Strompreises</w:t>
      </w:r>
    </w:p>
    <w:tbl>
      <w:tblPr>
        <w:tblpPr w:leftFromText="141" w:rightFromText="141" w:vertAnchor="text" w:horzAnchor="page" w:tblpX="7581" w:tblpY="-396"/>
        <w:tblW w:w="3960" w:type="dxa"/>
        <w:tblCellMar>
          <w:left w:w="70" w:type="dxa"/>
          <w:right w:w="70" w:type="dxa"/>
        </w:tblCellMar>
        <w:tblLook w:val="04A0" w:firstRow="1" w:lastRow="0" w:firstColumn="1" w:lastColumn="0" w:noHBand="0" w:noVBand="1"/>
      </w:tblPr>
      <w:tblGrid>
        <w:gridCol w:w="1320"/>
        <w:gridCol w:w="1327"/>
        <w:gridCol w:w="1313"/>
      </w:tblGrid>
      <w:tr w:rsidR="006248A8" w:rsidRPr="006248A8" w:rsidTr="006248A8">
        <w:trPr>
          <w:trHeight w:val="300"/>
        </w:trPr>
        <w:tc>
          <w:tcPr>
            <w:tcW w:w="1320" w:type="dxa"/>
            <w:tcBorders>
              <w:top w:val="single" w:sz="8" w:space="0" w:color="auto"/>
              <w:left w:val="single" w:sz="8" w:space="0" w:color="auto"/>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b/>
                <w:bCs/>
                <w:sz w:val="22"/>
                <w:szCs w:val="22"/>
              </w:rPr>
            </w:pPr>
            <w:r w:rsidRPr="006248A8">
              <w:rPr>
                <w:rFonts w:cs="Arial"/>
                <w:b/>
                <w:bCs/>
                <w:sz w:val="22"/>
                <w:szCs w:val="22"/>
              </w:rPr>
              <w:lastRenderedPageBreak/>
              <w:t>Kategorien</w:t>
            </w:r>
          </w:p>
        </w:tc>
        <w:tc>
          <w:tcPr>
            <w:tcW w:w="2640" w:type="dxa"/>
            <w:gridSpan w:val="2"/>
            <w:tcBorders>
              <w:top w:val="single" w:sz="8" w:space="0" w:color="auto"/>
              <w:left w:val="nil"/>
              <w:bottom w:val="single" w:sz="4" w:space="0" w:color="FFFFFF"/>
              <w:right w:val="single" w:sz="8" w:space="0" w:color="000000"/>
            </w:tcBorders>
            <w:shd w:val="clear" w:color="auto" w:fill="auto"/>
            <w:noWrap/>
            <w:vAlign w:val="bottom"/>
            <w:hideMark/>
          </w:tcPr>
          <w:p w:rsidR="006248A8" w:rsidRPr="006248A8" w:rsidRDefault="006248A8" w:rsidP="006248A8">
            <w:pPr>
              <w:spacing w:after="0" w:line="240" w:lineRule="auto"/>
              <w:jc w:val="center"/>
              <w:rPr>
                <w:rFonts w:cs="Arial"/>
                <w:b/>
                <w:bCs/>
                <w:sz w:val="22"/>
                <w:szCs w:val="22"/>
              </w:rPr>
            </w:pPr>
            <w:r w:rsidRPr="006248A8">
              <w:rPr>
                <w:rFonts w:cs="Arial"/>
                <w:b/>
                <w:bCs/>
                <w:sz w:val="22"/>
                <w:szCs w:val="22"/>
              </w:rPr>
              <w:t>Verbrauch [MWh]</w:t>
            </w:r>
          </w:p>
        </w:tc>
      </w:tr>
      <w:tr w:rsidR="006248A8" w:rsidRPr="006248A8" w:rsidTr="006248A8">
        <w:trPr>
          <w:trHeight w:val="285"/>
        </w:trPr>
        <w:tc>
          <w:tcPr>
            <w:tcW w:w="1320" w:type="dxa"/>
            <w:tcBorders>
              <w:top w:val="nil"/>
              <w:left w:val="single" w:sz="8" w:space="0" w:color="auto"/>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 </w:t>
            </w:r>
          </w:p>
        </w:tc>
        <w:tc>
          <w:tcPr>
            <w:tcW w:w="1327" w:type="dxa"/>
            <w:tcBorders>
              <w:top w:val="nil"/>
              <w:left w:val="nil"/>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i/>
                <w:iCs/>
                <w:sz w:val="22"/>
                <w:szCs w:val="22"/>
              </w:rPr>
            </w:pPr>
            <w:r w:rsidRPr="006248A8">
              <w:rPr>
                <w:rFonts w:cs="Arial"/>
                <w:i/>
                <w:iCs/>
                <w:sz w:val="22"/>
                <w:szCs w:val="22"/>
              </w:rPr>
              <w:t>Größer als</w:t>
            </w:r>
          </w:p>
        </w:tc>
        <w:tc>
          <w:tcPr>
            <w:tcW w:w="1313" w:type="dxa"/>
            <w:tcBorders>
              <w:top w:val="nil"/>
              <w:left w:val="nil"/>
              <w:bottom w:val="single" w:sz="4" w:space="0" w:color="FFFFFF"/>
              <w:right w:val="single" w:sz="8" w:space="0" w:color="auto"/>
            </w:tcBorders>
            <w:shd w:val="clear" w:color="auto" w:fill="auto"/>
            <w:noWrap/>
            <w:vAlign w:val="bottom"/>
            <w:hideMark/>
          </w:tcPr>
          <w:p w:rsidR="006248A8" w:rsidRPr="006248A8" w:rsidRDefault="006248A8" w:rsidP="006248A8">
            <w:pPr>
              <w:spacing w:after="0" w:line="240" w:lineRule="auto"/>
              <w:rPr>
                <w:rFonts w:cs="Arial"/>
                <w:i/>
                <w:iCs/>
                <w:sz w:val="22"/>
                <w:szCs w:val="22"/>
              </w:rPr>
            </w:pPr>
            <w:r w:rsidRPr="006248A8">
              <w:rPr>
                <w:rFonts w:cs="Arial"/>
                <w:i/>
                <w:iCs/>
                <w:sz w:val="22"/>
                <w:szCs w:val="22"/>
              </w:rPr>
              <w:t>Kleiner als</w:t>
            </w:r>
          </w:p>
        </w:tc>
      </w:tr>
      <w:tr w:rsidR="006248A8" w:rsidRPr="006248A8" w:rsidTr="006248A8">
        <w:trPr>
          <w:trHeight w:val="285"/>
        </w:trPr>
        <w:tc>
          <w:tcPr>
            <w:tcW w:w="1320" w:type="dxa"/>
            <w:tcBorders>
              <w:top w:val="nil"/>
              <w:left w:val="single" w:sz="8" w:space="0" w:color="auto"/>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A</w:t>
            </w:r>
          </w:p>
        </w:tc>
        <w:tc>
          <w:tcPr>
            <w:tcW w:w="1327" w:type="dxa"/>
            <w:tcBorders>
              <w:top w:val="nil"/>
              <w:left w:val="nil"/>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 </w:t>
            </w:r>
          </w:p>
        </w:tc>
        <w:tc>
          <w:tcPr>
            <w:tcW w:w="1313" w:type="dxa"/>
            <w:tcBorders>
              <w:top w:val="nil"/>
              <w:left w:val="nil"/>
              <w:bottom w:val="single" w:sz="4" w:space="0" w:color="FFFFFF"/>
              <w:right w:val="single" w:sz="8" w:space="0" w:color="auto"/>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20</w:t>
            </w:r>
          </w:p>
        </w:tc>
      </w:tr>
      <w:tr w:rsidR="006248A8" w:rsidRPr="006248A8" w:rsidTr="006248A8">
        <w:trPr>
          <w:trHeight w:val="285"/>
        </w:trPr>
        <w:tc>
          <w:tcPr>
            <w:tcW w:w="1320" w:type="dxa"/>
            <w:tcBorders>
              <w:top w:val="nil"/>
              <w:left w:val="single" w:sz="8" w:space="0" w:color="auto"/>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B</w:t>
            </w:r>
          </w:p>
        </w:tc>
        <w:tc>
          <w:tcPr>
            <w:tcW w:w="1327" w:type="dxa"/>
            <w:tcBorders>
              <w:top w:val="nil"/>
              <w:left w:val="nil"/>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20</w:t>
            </w:r>
          </w:p>
        </w:tc>
        <w:tc>
          <w:tcPr>
            <w:tcW w:w="1313" w:type="dxa"/>
            <w:tcBorders>
              <w:top w:val="nil"/>
              <w:left w:val="nil"/>
              <w:bottom w:val="single" w:sz="4" w:space="0" w:color="FFFFFF"/>
              <w:right w:val="single" w:sz="8" w:space="0" w:color="auto"/>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500</w:t>
            </w:r>
          </w:p>
        </w:tc>
      </w:tr>
      <w:tr w:rsidR="006248A8" w:rsidRPr="006248A8" w:rsidTr="006248A8">
        <w:trPr>
          <w:trHeight w:val="285"/>
        </w:trPr>
        <w:tc>
          <w:tcPr>
            <w:tcW w:w="1320" w:type="dxa"/>
            <w:tcBorders>
              <w:top w:val="nil"/>
              <w:left w:val="single" w:sz="8" w:space="0" w:color="auto"/>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C</w:t>
            </w:r>
          </w:p>
        </w:tc>
        <w:tc>
          <w:tcPr>
            <w:tcW w:w="1327" w:type="dxa"/>
            <w:tcBorders>
              <w:top w:val="nil"/>
              <w:left w:val="nil"/>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500</w:t>
            </w:r>
          </w:p>
        </w:tc>
        <w:tc>
          <w:tcPr>
            <w:tcW w:w="1313" w:type="dxa"/>
            <w:tcBorders>
              <w:top w:val="nil"/>
              <w:left w:val="nil"/>
              <w:bottom w:val="single" w:sz="4" w:space="0" w:color="FFFFFF"/>
              <w:right w:val="single" w:sz="8" w:space="0" w:color="auto"/>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2000</w:t>
            </w:r>
          </w:p>
        </w:tc>
      </w:tr>
      <w:tr w:rsidR="006248A8" w:rsidRPr="006248A8" w:rsidTr="006248A8">
        <w:trPr>
          <w:trHeight w:val="285"/>
        </w:trPr>
        <w:tc>
          <w:tcPr>
            <w:tcW w:w="1320" w:type="dxa"/>
            <w:tcBorders>
              <w:top w:val="nil"/>
              <w:left w:val="single" w:sz="8" w:space="0" w:color="auto"/>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D</w:t>
            </w:r>
          </w:p>
        </w:tc>
        <w:tc>
          <w:tcPr>
            <w:tcW w:w="1327" w:type="dxa"/>
            <w:tcBorders>
              <w:top w:val="nil"/>
              <w:left w:val="nil"/>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2000</w:t>
            </w:r>
          </w:p>
        </w:tc>
        <w:tc>
          <w:tcPr>
            <w:tcW w:w="1313" w:type="dxa"/>
            <w:tcBorders>
              <w:top w:val="nil"/>
              <w:left w:val="nil"/>
              <w:bottom w:val="single" w:sz="4" w:space="0" w:color="FFFFFF"/>
              <w:right w:val="single" w:sz="8" w:space="0" w:color="auto"/>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20000</w:t>
            </w:r>
          </w:p>
        </w:tc>
      </w:tr>
      <w:tr w:rsidR="006248A8" w:rsidRPr="006248A8" w:rsidTr="006248A8">
        <w:trPr>
          <w:trHeight w:val="285"/>
        </w:trPr>
        <w:tc>
          <w:tcPr>
            <w:tcW w:w="1320" w:type="dxa"/>
            <w:tcBorders>
              <w:top w:val="nil"/>
              <w:left w:val="single" w:sz="8" w:space="0" w:color="auto"/>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E</w:t>
            </w:r>
          </w:p>
        </w:tc>
        <w:tc>
          <w:tcPr>
            <w:tcW w:w="1327" w:type="dxa"/>
            <w:tcBorders>
              <w:top w:val="nil"/>
              <w:left w:val="nil"/>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20000</w:t>
            </w:r>
          </w:p>
        </w:tc>
        <w:tc>
          <w:tcPr>
            <w:tcW w:w="1313" w:type="dxa"/>
            <w:tcBorders>
              <w:top w:val="nil"/>
              <w:left w:val="nil"/>
              <w:bottom w:val="single" w:sz="4" w:space="0" w:color="FFFFFF"/>
              <w:right w:val="single" w:sz="8" w:space="0" w:color="auto"/>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70000</w:t>
            </w:r>
          </w:p>
        </w:tc>
      </w:tr>
      <w:tr w:rsidR="006248A8" w:rsidRPr="006248A8" w:rsidTr="006248A8">
        <w:trPr>
          <w:trHeight w:val="285"/>
        </w:trPr>
        <w:tc>
          <w:tcPr>
            <w:tcW w:w="1320" w:type="dxa"/>
            <w:tcBorders>
              <w:top w:val="nil"/>
              <w:left w:val="single" w:sz="8" w:space="0" w:color="auto"/>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F</w:t>
            </w:r>
          </w:p>
        </w:tc>
        <w:tc>
          <w:tcPr>
            <w:tcW w:w="1327" w:type="dxa"/>
            <w:tcBorders>
              <w:top w:val="nil"/>
              <w:left w:val="nil"/>
              <w:bottom w:val="single" w:sz="4" w:space="0" w:color="FFFFFF"/>
              <w:right w:val="single" w:sz="4" w:space="0" w:color="FFFFFF"/>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70000</w:t>
            </w:r>
          </w:p>
        </w:tc>
        <w:tc>
          <w:tcPr>
            <w:tcW w:w="1313" w:type="dxa"/>
            <w:tcBorders>
              <w:top w:val="nil"/>
              <w:left w:val="nil"/>
              <w:bottom w:val="single" w:sz="4" w:space="0" w:color="FFFFFF"/>
              <w:right w:val="single" w:sz="8" w:space="0" w:color="auto"/>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150000</w:t>
            </w:r>
          </w:p>
        </w:tc>
      </w:tr>
      <w:tr w:rsidR="006248A8" w:rsidRPr="006248A8" w:rsidTr="006248A8">
        <w:trPr>
          <w:trHeight w:val="300"/>
        </w:trPr>
        <w:tc>
          <w:tcPr>
            <w:tcW w:w="1320" w:type="dxa"/>
            <w:tcBorders>
              <w:top w:val="nil"/>
              <w:left w:val="single" w:sz="8" w:space="0" w:color="auto"/>
              <w:bottom w:val="single" w:sz="8" w:space="0" w:color="auto"/>
              <w:right w:val="single" w:sz="4" w:space="0" w:color="FFFFFF"/>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G</w:t>
            </w:r>
          </w:p>
        </w:tc>
        <w:tc>
          <w:tcPr>
            <w:tcW w:w="1327" w:type="dxa"/>
            <w:tcBorders>
              <w:top w:val="nil"/>
              <w:left w:val="nil"/>
              <w:bottom w:val="single" w:sz="8" w:space="0" w:color="auto"/>
              <w:right w:val="single" w:sz="4" w:space="0" w:color="FFFFFF"/>
            </w:tcBorders>
            <w:shd w:val="clear" w:color="auto" w:fill="auto"/>
            <w:noWrap/>
            <w:vAlign w:val="bottom"/>
            <w:hideMark/>
          </w:tcPr>
          <w:p w:rsidR="006248A8" w:rsidRPr="006248A8" w:rsidRDefault="006248A8" w:rsidP="006248A8">
            <w:pPr>
              <w:spacing w:after="0" w:line="240" w:lineRule="auto"/>
              <w:jc w:val="right"/>
              <w:rPr>
                <w:rFonts w:cs="Arial"/>
                <w:sz w:val="22"/>
                <w:szCs w:val="22"/>
              </w:rPr>
            </w:pPr>
            <w:r w:rsidRPr="006248A8">
              <w:rPr>
                <w:rFonts w:cs="Arial"/>
                <w:sz w:val="22"/>
                <w:szCs w:val="22"/>
              </w:rPr>
              <w:t>150000</w:t>
            </w:r>
          </w:p>
        </w:tc>
        <w:tc>
          <w:tcPr>
            <w:tcW w:w="1313" w:type="dxa"/>
            <w:tcBorders>
              <w:top w:val="nil"/>
              <w:left w:val="nil"/>
              <w:bottom w:val="single" w:sz="8" w:space="0" w:color="auto"/>
              <w:right w:val="single" w:sz="8" w:space="0" w:color="auto"/>
            </w:tcBorders>
            <w:shd w:val="clear" w:color="auto" w:fill="auto"/>
            <w:noWrap/>
            <w:vAlign w:val="bottom"/>
            <w:hideMark/>
          </w:tcPr>
          <w:p w:rsidR="006248A8" w:rsidRPr="006248A8" w:rsidRDefault="006248A8" w:rsidP="006248A8">
            <w:pPr>
              <w:spacing w:after="0" w:line="240" w:lineRule="auto"/>
              <w:rPr>
                <w:rFonts w:cs="Arial"/>
                <w:sz w:val="22"/>
                <w:szCs w:val="22"/>
              </w:rPr>
            </w:pPr>
            <w:r w:rsidRPr="006248A8">
              <w:rPr>
                <w:rFonts w:cs="Arial"/>
                <w:sz w:val="22"/>
                <w:szCs w:val="22"/>
              </w:rPr>
              <w:t> </w:t>
            </w:r>
          </w:p>
        </w:tc>
      </w:tr>
    </w:tbl>
    <w:p w:rsidR="006248A8" w:rsidRDefault="006248A8" w:rsidP="00096072">
      <w:pPr>
        <w:pStyle w:val="Listenabsatz"/>
      </w:pPr>
      <w:r>
        <w:t xml:space="preserve"> </w:t>
      </w:r>
      <w:r w:rsidR="00096072">
        <w:t xml:space="preserve">Strompreisdaten sind aus </w:t>
      </w:r>
      <w:r>
        <w:rPr>
          <w:i/>
        </w:rPr>
        <w:t>nrg_pc_205</w:t>
      </w:r>
      <w:r>
        <w:t xml:space="preserve"> für Europa in Abhängigkeit vom Verbrauch halbjährig aufgeführt. Die Preise unterscheiden sich in 6 Kategorien:</w:t>
      </w:r>
    </w:p>
    <w:p w:rsidR="00096072" w:rsidRDefault="00096072" w:rsidP="00096072">
      <w:pPr>
        <w:pStyle w:val="Listenabsatz"/>
      </w:pPr>
    </w:p>
    <w:p w:rsidR="006248A8" w:rsidRDefault="006248A8" w:rsidP="00096072">
      <w:pPr>
        <w:pStyle w:val="Listenabsatz"/>
      </w:pPr>
      <w:r>
        <w:t>Die Preise wurden auf ein Jahr gemittelt.</w:t>
      </w:r>
    </w:p>
    <w:p w:rsidR="006248A8" w:rsidRDefault="006248A8" w:rsidP="00096072">
      <w:pPr>
        <w:pStyle w:val="Listenabsatz"/>
      </w:pPr>
      <w:r>
        <w:t xml:space="preserve">Vgl. hierzu: </w:t>
      </w:r>
      <w:r w:rsidRPr="006248A8">
        <w:rPr>
          <w:i/>
        </w:rPr>
        <w:t xml:space="preserve">20200709_nrg_pc_205_Strompreise </w:t>
      </w:r>
      <w:proofErr w:type="spellStart"/>
      <w:r w:rsidRPr="006248A8">
        <w:rPr>
          <w:i/>
        </w:rPr>
        <w:t>Eurostat</w:t>
      </w:r>
      <w:proofErr w:type="spellEnd"/>
      <w:r w:rsidRPr="006248A8">
        <w:rPr>
          <w:i/>
        </w:rPr>
        <w:t xml:space="preserve"> nach Abnahmemenge_Halbjährlich_v03_aw</w:t>
      </w:r>
      <w:r>
        <w:rPr>
          <w:i/>
        </w:rPr>
        <w:t xml:space="preserve"> </w:t>
      </w:r>
    </w:p>
    <w:p w:rsidR="006248A8" w:rsidRDefault="006248A8" w:rsidP="00096072">
      <w:pPr>
        <w:pStyle w:val="Listenabsatz"/>
      </w:pPr>
    </w:p>
    <w:p w:rsidR="006248A8" w:rsidRDefault="006248A8" w:rsidP="006248A8">
      <w:pPr>
        <w:pStyle w:val="Listenabsatz"/>
        <w:numPr>
          <w:ilvl w:val="0"/>
          <w:numId w:val="3"/>
        </w:numPr>
      </w:pPr>
      <w:r>
        <w:t>Zuteilung der Strompreiskategorien zu den Unternehmensverbrächen. Dies geschah durch ein kurzes Skript. Dient der späteren Berechnung mit INDEX-VERGLEICH.</w:t>
      </w:r>
    </w:p>
    <w:p w:rsidR="006248A8" w:rsidRDefault="00AF00DF" w:rsidP="006248A8">
      <w:pPr>
        <w:pStyle w:val="Listenabsatz"/>
        <w:rPr>
          <w:b/>
        </w:rPr>
      </w:pPr>
      <w:r>
        <w:t>Vgl. hierzu</w:t>
      </w:r>
      <w:r w:rsidR="006248A8">
        <w:t xml:space="preserve">: </w:t>
      </w:r>
      <w:r w:rsidR="006248A8" w:rsidRPr="00096072">
        <w:rPr>
          <w:i/>
        </w:rPr>
        <w:t>20200623_Stromverbrauch und Kosten Industrie Unternehmen nach Größe und Umsatz_v02_aw_Zusammenführung</w:t>
      </w:r>
      <w:r w:rsidR="006248A8">
        <w:rPr>
          <w:i/>
        </w:rPr>
        <w:t xml:space="preserve"> </w:t>
      </w:r>
      <w:r w:rsidR="006248A8">
        <w:t xml:space="preserve">Tab. </w:t>
      </w:r>
      <w:proofErr w:type="spellStart"/>
      <w:r w:rsidR="006248A8">
        <w:rPr>
          <w:b/>
        </w:rPr>
        <w:t>El</w:t>
      </w:r>
      <w:proofErr w:type="spellEnd"/>
      <w:r w:rsidR="006248A8">
        <w:rPr>
          <w:b/>
        </w:rPr>
        <w:t>-Verbrauch pro UN (</w:t>
      </w:r>
      <w:proofErr w:type="spellStart"/>
      <w:r w:rsidR="006248A8">
        <w:rPr>
          <w:b/>
        </w:rPr>
        <w:t>Durchschn</w:t>
      </w:r>
      <w:proofErr w:type="spellEnd"/>
      <w:r w:rsidR="006248A8">
        <w:rPr>
          <w:b/>
        </w:rPr>
        <w:t>)</w:t>
      </w:r>
    </w:p>
    <w:p w:rsidR="006248A8" w:rsidRPr="006248A8" w:rsidRDefault="006248A8" w:rsidP="006248A8">
      <w:pPr>
        <w:pStyle w:val="Listenabsatz"/>
      </w:pPr>
      <w:r w:rsidRPr="006248A8">
        <w:t>VBA Makro zur Kategorienzuordnung der Strompreise</w:t>
      </w:r>
      <w:r>
        <w:t>.txt</w:t>
      </w:r>
    </w:p>
    <w:p w:rsidR="006248A8" w:rsidRDefault="006248A8" w:rsidP="006248A8">
      <w:pPr>
        <w:pStyle w:val="Listenabsatz"/>
        <w:numPr>
          <w:ilvl w:val="0"/>
          <w:numId w:val="3"/>
        </w:numPr>
      </w:pPr>
      <w:r>
        <w:t>Berechnung der Stromkosten pro Großunternehmen pro Land pro Jahr</w:t>
      </w:r>
    </w:p>
    <w:p w:rsidR="006248A8" w:rsidRDefault="006248A8" w:rsidP="006248A8">
      <w:pPr>
        <w:pStyle w:val="Listenabsatz"/>
        <w:rPr>
          <w:vertAlign w:val="superscript"/>
        </w:rPr>
      </w:pPr>
      <w:r>
        <w:t xml:space="preserve">Die Stromkosten wurden auf Basis der Kategorie-Zuteilung und der Verbräuche berechnet. Dabei musste auf die Einheiten geachtet werden. Preise waren pro kWh angegeben, Verbräuche in </w:t>
      </w:r>
      <w:proofErr w:type="spellStart"/>
      <w:r>
        <w:t>GWh</w:t>
      </w:r>
      <w:proofErr w:type="spellEnd"/>
      <w:r>
        <w:t>. -&gt; Faktor 10</w:t>
      </w:r>
      <w:r w:rsidRPr="006248A8">
        <w:rPr>
          <w:vertAlign w:val="superscript"/>
        </w:rPr>
        <w:t>6</w:t>
      </w:r>
    </w:p>
    <w:p w:rsidR="006248A8" w:rsidRDefault="006248A8" w:rsidP="006248A8">
      <w:pPr>
        <w:pStyle w:val="Listenabsatz"/>
        <w:rPr>
          <w:b/>
        </w:rPr>
      </w:pPr>
      <w:r>
        <w:t xml:space="preserve">Vgl. hierzu (vorläufig) finale Tabelle: </w:t>
      </w:r>
      <w:r w:rsidRPr="00096072">
        <w:rPr>
          <w:i/>
        </w:rPr>
        <w:t>20200623_Stromverbrauch und Kosten Industrie Unternehmen nach Größe und Umsatz_v02_aw_Zusammenführung</w:t>
      </w:r>
      <w:r>
        <w:rPr>
          <w:i/>
        </w:rPr>
        <w:t xml:space="preserve"> </w:t>
      </w:r>
      <w:r>
        <w:t xml:space="preserve">Tab. </w:t>
      </w:r>
      <w:r w:rsidR="00591DFA">
        <w:rPr>
          <w:b/>
        </w:rPr>
        <w:t>Stromkosten pro UN</w:t>
      </w:r>
    </w:p>
    <w:p w:rsidR="006248A8" w:rsidRPr="006248A8" w:rsidRDefault="006248A8" w:rsidP="006248A8">
      <w:pPr>
        <w:pStyle w:val="Listenabsatz"/>
      </w:pPr>
    </w:p>
    <w:p w:rsidR="006248A8" w:rsidRDefault="00F0051C" w:rsidP="006248A8">
      <w:r>
        <w:t>Ermittlung der Zahlungsfähigkeit</w:t>
      </w:r>
    </w:p>
    <w:p w:rsidR="00F0051C" w:rsidRDefault="00F0051C" w:rsidP="006248A8"/>
    <w:p w:rsidR="00F0051C" w:rsidRDefault="00F0051C" w:rsidP="00F0051C">
      <w:pPr>
        <w:pStyle w:val="Listenabsatz"/>
        <w:numPr>
          <w:ilvl w:val="0"/>
          <w:numId w:val="4"/>
        </w:numPr>
      </w:pPr>
      <w:r>
        <w:t>Ausweitung der Strompreisanalysen auf die anderen Unternehmensgrößen</w:t>
      </w:r>
    </w:p>
    <w:p w:rsidR="00F0051C" w:rsidRPr="006248A8" w:rsidRDefault="00F0051C" w:rsidP="00F0051C">
      <w:pPr>
        <w:pStyle w:val="Listenabsatz"/>
        <w:numPr>
          <w:ilvl w:val="0"/>
          <w:numId w:val="4"/>
        </w:numPr>
      </w:pPr>
      <w:r>
        <w:t>Ermittlung der durchschnittlichen Gewinnmargen in den verschiedenen NACE-Sektoren</w:t>
      </w:r>
    </w:p>
    <w:p w:rsidR="006248A8" w:rsidRDefault="009C0E6F" w:rsidP="006248A8">
      <w:pPr>
        <w:pStyle w:val="Listenabsatz"/>
      </w:pPr>
      <w:r>
        <w:t xml:space="preserve">Mithilfe der Tabelle </w:t>
      </w:r>
      <w:r w:rsidRPr="009C0E6F">
        <w:t>20200902_Gewinnmarge nach NACE_Eurostat_TIN00155</w:t>
      </w:r>
      <w:r>
        <w:t xml:space="preserve"> wurden für die „Überkategorien“ in jedem Land die durchschnittlichen Gewinnmargen ermittelt. Diese wurden zunächst auf die einzelnen Unterkategorien übernommen und müssen noch „aufgeteilt werden“, da in der NACE Kategorisierung Stahlindustrie und Herstellung von Schuhen die gleichen Gewinnmargen haben</w:t>
      </w:r>
    </w:p>
    <w:p w:rsidR="009C0E6F" w:rsidRDefault="009C0E6F" w:rsidP="009C0E6F">
      <w:pPr>
        <w:pStyle w:val="Listenabsatz"/>
        <w:numPr>
          <w:ilvl w:val="0"/>
          <w:numId w:val="4"/>
        </w:numPr>
      </w:pPr>
      <w:r>
        <w:t>So wurden die Gewinne ermittelt</w:t>
      </w:r>
    </w:p>
    <w:p w:rsidR="009C0E6F" w:rsidRPr="006248A8" w:rsidRDefault="009C0E6F" w:rsidP="009C0E6F">
      <w:pPr>
        <w:pStyle w:val="Listenabsatz"/>
        <w:numPr>
          <w:ilvl w:val="0"/>
          <w:numId w:val="4"/>
        </w:numPr>
      </w:pPr>
      <w:r>
        <w:t>Durch eine einfache Division erhält man die Zahlungsfähigke</w:t>
      </w:r>
      <w:r w:rsidR="004315BF">
        <w:t>i</w:t>
      </w:r>
      <w:r>
        <w:t>t</w:t>
      </w:r>
      <w:bookmarkStart w:id="0" w:name="_GoBack"/>
      <w:bookmarkEnd w:id="0"/>
    </w:p>
    <w:sectPr w:rsidR="009C0E6F" w:rsidRPr="006248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MS PMincho"/>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MS P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B617F"/>
    <w:multiLevelType w:val="hybridMultilevel"/>
    <w:tmpl w:val="9C3056A2"/>
    <w:lvl w:ilvl="0" w:tplc="585E84E4">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F10CC2"/>
    <w:multiLevelType w:val="hybridMultilevel"/>
    <w:tmpl w:val="5BCE69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F17E44"/>
    <w:multiLevelType w:val="hybridMultilevel"/>
    <w:tmpl w:val="CC80E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852EAB"/>
    <w:multiLevelType w:val="hybridMultilevel"/>
    <w:tmpl w:val="2E7A4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44B"/>
    <w:rsid w:val="00096072"/>
    <w:rsid w:val="001A544B"/>
    <w:rsid w:val="002652EE"/>
    <w:rsid w:val="00357F32"/>
    <w:rsid w:val="0037774A"/>
    <w:rsid w:val="004315BF"/>
    <w:rsid w:val="00591DFA"/>
    <w:rsid w:val="006248A8"/>
    <w:rsid w:val="009C0E6F"/>
    <w:rsid w:val="009E408F"/>
    <w:rsid w:val="00AF00DF"/>
    <w:rsid w:val="00F0051C"/>
    <w:rsid w:val="00F618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47C6"/>
  <w15:chartTrackingRefBased/>
  <w15:docId w15:val="{33123A6E-665E-4175-B582-78844338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cs="Times New Roman"/>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4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23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4037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Wimmers</dc:creator>
  <cp:keywords/>
  <dc:description/>
  <cp:lastModifiedBy>Alex Wimmers</cp:lastModifiedBy>
  <cp:revision>7</cp:revision>
  <dcterms:created xsi:type="dcterms:W3CDTF">2020-07-14T06:51:00Z</dcterms:created>
  <dcterms:modified xsi:type="dcterms:W3CDTF">2020-09-04T11:23:00Z</dcterms:modified>
</cp:coreProperties>
</file>