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Política de Reembolsos e Sinistros de Carga — TransLogística</w:t>
      </w:r>
    </w:p>
    <w:p>
      <w:r>
        <w:t>Normas para abertura de ocorrências, coberturas securitárias e prazos de indenização.</w:t>
      </w:r>
    </w:p>
    <w:p>
      <w:pPr>
        <w:pStyle w:val="Heading2"/>
      </w:pPr>
      <w:r>
        <w:t>1. Cobertura do Seguro de Transporte</w:t>
      </w:r>
    </w:p>
    <w:p>
      <w:r>
        <w:t>Todas as encomendas possuem seguro obrigatório RCTR-C contra acidentes, tombamento e roubo com cobertura automática de até R$ 10.000,00 por declaração de valor na Nota Fiscal.</w:t>
      </w:r>
    </w:p>
    <w:p>
      <w:pPr>
        <w:pStyle w:val="Heading2"/>
      </w:pPr>
      <w:r>
        <w:t>2. Prazos para Abertura de Sinistro</w:t>
      </w:r>
    </w:p>
    <w:p>
      <w:r>
        <w:t>• Extravio ou Roubo de Carga: abertura automática após 48 horas sem atualização de status ou mediante boletim de ocorrência.</w:t>
      </w:r>
    </w:p>
    <w:p>
      <w:r>
        <w:t>• Avaria / Quebra de Mercadoria: o destinatário ou remetente deve formalizar a reclamação em até 15 dias corridos após a data de entrega, com envio de fotos da embalagem e do item avariado.</w:t>
      </w:r>
    </w:p>
    <w:p>
      <w:pPr>
        <w:pStyle w:val="Heading2"/>
      </w:pPr>
      <w:r>
        <w:t>3. Prazo de Pagamento da Indenização</w:t>
      </w:r>
    </w:p>
    <w:p>
      <w:r>
        <w:t>Após a conclusão do laudo de vistoria (realizado em até 5 dias úteis), o pagamento da indenização do valor total constante na NF é realizado via transferência bancária em até 10 (dez) dias úteis.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