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44"/>
          <w:szCs w:val="44"/>
        </w:rPr>
        <w:t xml:space="preserve">Customer Billing Accelerator</w:t>
      </w:r>
    </w:p>
    <w:p>
      <w:pPr>
        <w:spacing w:after="40"/>
      </w:pPr>
      <w:r>
        <w:rPr>
          <w:rFonts w:ascii="Arial" w:cs="Arial" w:eastAsia="Arial" w:hAnsi="Arial"/>
          <w:b/>
          <w:bCs/>
          <w:color w:val="2E5984"/>
          <w:sz w:val="32"/>
          <w:szCs w:val="32"/>
        </w:rPr>
        <w:t xml:space="preserve">Slide-by-Slide Presenter Script</w:t>
      </w:r>
    </w:p>
    <w:p>
      <w:pPr>
        <w:pBdr>
          <w:bottom w:val="single" w:color="1B3A5C" w:sz="6" w:space="1"/>
        </w:pBdr>
        <w:spacing w:after="300"/>
      </w:pPr>
    </w:p>
    <w:p>
      <w:pPr>
        <w:spacing w:after="120"/>
      </w:pPr>
      <w:r>
        <w:rPr>
          <w:rFonts w:ascii="Arial" w:cs="Arial" w:eastAsia="Arial" w:hAnsi="Arial"/>
          <w:b/>
          <w:bCs/>
          <w:sz w:val="22"/>
          <w:szCs w:val="22"/>
        </w:rPr>
        <w:t xml:space="preserve">Level: </w:t>
      </w:r>
      <w:r>
        <w:rPr>
          <w:rFonts w:ascii="Arial" w:cs="Arial" w:eastAsia="Arial" w:hAnsi="Arial"/>
          <w:sz w:val="22"/>
          <w:szCs w:val="22"/>
        </w:rPr>
        <w:t xml:space="preserve">L150 — Business-fluent, technically grounded. Not a deep architecture walkthrough.</w:t>
      </w:r>
    </w:p>
    <w:p>
      <w:pPr>
        <w:spacing w:after="120"/>
      </w:pPr>
      <w:r>
        <w:rPr>
          <w:rFonts w:ascii="Arial" w:cs="Arial" w:eastAsia="Arial" w:hAnsi="Arial"/>
          <w:b/>
          <w:bCs/>
          <w:sz w:val="22"/>
          <w:szCs w:val="22"/>
        </w:rPr>
        <w:t xml:space="preserve">Audience: </w:t>
      </w:r>
      <w:r>
        <w:rPr>
          <w:rFonts w:ascii="Arial" w:cs="Arial" w:eastAsia="Arial" w:hAnsi="Arial"/>
          <w:sz w:val="22"/>
          <w:szCs w:val="22"/>
        </w:rPr>
        <w:t xml:space="preserve">AEs, partner sellers, customer stakeholders (CFO, VP Finance, CTO, Head of Data Engineering)</w:t>
      </w:r>
    </w:p>
    <w:p>
      <w:pPr>
        <w:spacing w:after="120"/>
      </w:pPr>
      <w:r>
        <w:rPr>
          <w:rFonts w:ascii="Arial" w:cs="Arial" w:eastAsia="Arial" w:hAnsi="Arial"/>
          <w:b/>
          <w:bCs/>
          <w:sz w:val="22"/>
          <w:szCs w:val="22"/>
        </w:rPr>
        <w:t xml:space="preserve">Total Runtime: </w:t>
      </w:r>
      <w:r>
        <w:rPr>
          <w:rFonts w:ascii="Arial" w:cs="Arial" w:eastAsia="Arial" w:hAnsi="Arial"/>
          <w:sz w:val="22"/>
          <w:szCs w:val="22"/>
        </w:rPr>
        <w:t xml:space="preserve">25–30 minutes (presentation) + 10–15 minutes (Q&amp;A)</w:t>
      </w:r>
    </w:p>
    <w:p>
      <w:pPr>
        <w:spacing w:after="120"/>
      </w:pPr>
      <w:r>
        <w:rPr>
          <w:rFonts w:ascii="Arial" w:cs="Arial" w:eastAsia="Arial" w:hAnsi="Arial"/>
          <w:b/>
          <w:bCs/>
          <w:sz w:val="22"/>
          <w:szCs w:val="22"/>
        </w:rPr>
        <w:t xml:space="preserve">Tone: </w:t>
      </w:r>
      <w:r>
        <w:rPr>
          <w:rFonts w:ascii="Arial" w:cs="Arial" w:eastAsia="Arial" w:hAnsi="Arial"/>
          <w:sz w:val="22"/>
          <w:szCs w:val="22"/>
        </w:rPr>
        <w:t xml:space="preserve">Confident, conversational, zero hand-waving. You know this system because you built it.</w:t>
      </w:r>
    </w:p>
    <w:p>
      <w:pPr>
        <w:spacing w:after="120"/>
      </w:pPr>
      <w:r>
        <w:rPr>
          <w:rFonts w:ascii="Arial" w:cs="Arial" w:eastAsia="Arial" w:hAnsi="Arial"/>
          <w:sz w:val="22"/>
          <w:szCs w:val="22"/>
        </w:rPr>
        <w:t xml:space="preserve"/>
      </w:r>
    </w:p>
    <w:p>
      <w:pPr>
        <w:spacing w:after="120"/>
      </w:pPr>
      <w:r>
        <w:rPr>
          <w:rFonts w:ascii="Arial" w:cs="Arial" w:eastAsia="Arial" w:hAnsi="Arial"/>
          <w:i/>
          <w:iCs/>
          <w:color w:val="555555"/>
          <w:sz w:val="22"/>
          <w:szCs w:val="22"/>
        </w:rPr>
        <w:t xml:space="preserve">Formatting guide: Blue-bordered blocks are verbatim narration you can read or paraphrase. Bullets are talking points. Tables are anticipated Q&amp;A.</w:t>
      </w:r>
    </w:p>
    <w:p>
      <w:pPr>
        <w:pStyle w:val="Heading2"/>
        <w:spacing w:after="160" w:before="300"/>
      </w:pPr>
      <w:r>
        <w:rPr>
          <w:rFonts w:ascii="Arial" w:cs="Arial" w:eastAsia="Arial" w:hAnsi="Arial"/>
          <w:b/>
          <w:bCs/>
          <w:color w:val="2E5984"/>
          <w:sz w:val="26"/>
          <w:szCs w:val="26"/>
        </w:rPr>
        <w:t xml:space="preserve">Timing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Slide</w:t>
            </w:r>
          </w:p>
        </w:tc>
        <w:tc>
          <w:tcPr>
            <w:tcW w:type="dxa" w:w="4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Dwell</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Cumulative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Title / Intro</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1:00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1:00</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2</w:t>
            </w:r>
          </w:p>
        </w:tc>
        <w:tc>
          <w:tcPr>
            <w:tcW w:type="dxa" w:w="4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Business Challenge</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2:30</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3:30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Accelerator Overview</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3:00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6:30</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4</w:t>
            </w:r>
          </w:p>
        </w:tc>
        <w:tc>
          <w:tcPr>
            <w:tcW w:type="dxa" w:w="4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Use Cases and Personas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2:30</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9:00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5</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Process Flow</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2:30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11:30</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6</w:t>
            </w:r>
          </w:p>
        </w:tc>
        <w:tc>
          <w:tcPr>
            <w:tcW w:type="dxa" w:w="4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Component Architecture</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2:30</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14:00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7</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Solution Architecture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3:00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17:00</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8</w:t>
            </w:r>
          </w:p>
        </w:tc>
        <w:tc>
          <w:tcPr>
            <w:tcW w:type="dxa" w:w="4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PepsiCo Case Study</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3:00</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20:00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9</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Accelerator Description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2:00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22:00</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10</w:t>
            </w:r>
          </w:p>
        </w:tc>
        <w:tc>
          <w:tcPr>
            <w:tcW w:type="dxa" w:w="4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Requirements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2:00</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24:00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11–14</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Partner / Contact / Close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2:00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26:00</w:t>
            </w:r>
          </w:p>
        </w:tc>
      </w:tr>
    </w:tbl>
    <w:p>
      <w:r>
        <w:br w:type="page"/>
      </w:r>
    </w:p>
    <w:p>
      <w:pPr>
        <w:pStyle w:val="Heading1"/>
        <w:spacing w:after="200" w:before="400"/>
      </w:pPr>
      <w:r>
        <w:rPr>
          <w:rFonts w:ascii="Arial" w:cs="Arial" w:eastAsia="Arial" w:hAnsi="Arial"/>
          <w:b/>
          <w:bCs/>
          <w:color w:val="1B3A5C"/>
          <w:sz w:val="32"/>
          <w:szCs w:val="32"/>
        </w:rPr>
        <w:t xml:space="preserve">Slide 1 — Title</w:t>
      </w:r>
    </w:p>
    <w:p>
      <w:pPr>
        <w:spacing w:after="80"/>
      </w:pPr>
      <w:r>
        <w:rPr>
          <w:rFonts w:ascii="Arial" w:cs="Arial" w:eastAsia="Arial" w:hAnsi="Arial"/>
          <w:i/>
          <w:iCs/>
          <w:color w:val="888888"/>
          <w:sz w:val="18"/>
          <w:szCs w:val="18"/>
        </w:rPr>
        <w:t xml:space="preserve">Dwell: 1:00 | Persona focus: Everyone | Transition: Land the value prop, set expectations</w:t>
      </w:r>
    </w:p>
    <w:p>
      <w:pPr>
        <w:pBdr>
          <w:left w:val="single" w:color="3D7AB5" w:sz="6" w:space="8"/>
        </w:pBdr>
        <w:spacing w:after="120"/>
        <w:ind w:left="360"/>
      </w:pPr>
      <w:r>
        <w:rPr>
          <w:rFonts w:ascii="Georgia" w:cs="Georgia" w:eastAsia="Georgia" w:hAnsi="Georgia"/>
          <w:sz w:val="22"/>
          <w:szCs w:val="22"/>
        </w:rPr>
        <w:t xml:space="preserve">This is the Customer Billing Accelerator — built by Entrada in partnership with Databricks. It’s a BrickBuilder Accelerator, which means it’s been validated by Databricks and is available through their go-to-market. What you’re going to see today is not a concept deck. This is production code. It’s running, it’s been deployed at a Fortune 50, and it’s built entirely on the Databricks Lakehouse with zero external dependencies.</w:t>
      </w:r>
    </w:p>
    <w:p>
      <w:pPr>
        <w:pBdr>
          <w:left w:val="single" w:color="3D7AB5" w:sz="6" w:space="8"/>
        </w:pBdr>
        <w:spacing w:after="120"/>
        <w:ind w:left="360"/>
      </w:pPr>
      <w:r>
        <w:rPr>
          <w:rFonts w:ascii="Georgia" w:cs="Georgia" w:eastAsia="Georgia" w:hAnsi="Georgia"/>
          <w:sz w:val="22"/>
          <w:szCs w:val="22"/>
        </w:rPr>
        <w:t xml:space="preserve">Two things to set up front: first, this is cross-industry — we’ve parameterized it for telco, SaaS, and utility verticals, so the use case you see today maps to your world regardless of vertical. Second, this is an agentic system, not a chatbot. It detects, investigates, writes back, and governs — with full user identity propagation and dual-identity audit trails.</w:t>
      </w:r>
    </w:p>
    <w:p>
      <w:pPr>
        <w:pStyle w:val="Heading3"/>
        <w:spacing w:after="120" w:before="240"/>
      </w:pPr>
      <w:r>
        <w:rPr>
          <w:rFonts w:ascii="Arial" w:cs="Arial" w:eastAsia="Arial" w:hAnsi="Arial"/>
          <w:b/>
          <w:bCs/>
          <w:color w:val="3D7AB5"/>
          <w:sz w:val="22"/>
          <w:szCs w:val="22"/>
        </w:rPr>
        <w:t xml:space="preserve">Key talking points</w:t>
      </w:r>
    </w:p>
    <w:p>
      <w:pPr>
        <w:pStyle w:val="ListParagraph"/>
        <w:numPr>
          <w:ilvl w:val="0"/>
          <w:numId w:val="2"/>
        </w:numPr>
        <w:spacing w:after="80"/>
      </w:pPr>
      <w:r>
        <w:rPr>
          <w:rFonts w:ascii="Arial" w:cs="Arial" w:eastAsia="Arial" w:hAnsi="Arial"/>
          <w:b/>
          <w:bCs/>
          <w:sz w:val="22"/>
          <w:szCs w:val="22"/>
        </w:rPr>
        <w:t xml:space="preserve">Entrada + Databricks: </w:t>
      </w:r>
      <w:r>
        <w:rPr>
          <w:rFonts w:ascii="Arial" w:cs="Arial" w:eastAsia="Arial" w:hAnsi="Arial"/>
          <w:sz w:val="22"/>
          <w:szCs w:val="22"/>
        </w:rPr>
        <w:t xml:space="preserve">Partnership offering, not a standalone product. Deployed as part of Entrada delivery engagements.</w:t>
      </w:r>
    </w:p>
    <w:p>
      <w:pPr>
        <w:pStyle w:val="ListParagraph"/>
        <w:numPr>
          <w:ilvl w:val="0"/>
          <w:numId w:val="2"/>
        </w:numPr>
        <w:spacing w:after="80"/>
      </w:pPr>
      <w:r>
        <w:rPr>
          <w:rFonts w:ascii="Arial" w:cs="Arial" w:eastAsia="Arial" w:hAnsi="Arial"/>
          <w:b/>
          <w:bCs/>
          <w:sz w:val="22"/>
          <w:szCs w:val="22"/>
        </w:rPr>
        <w:t xml:space="preserve">BrickBuilder Accelerator: </w:t>
      </w:r>
      <w:r>
        <w:rPr>
          <w:rFonts w:ascii="Arial" w:cs="Arial" w:eastAsia="Arial" w:hAnsi="Arial"/>
          <w:sz w:val="22"/>
          <w:szCs w:val="22"/>
        </w:rPr>
        <w:t xml:space="preserve">Databricks-validated. Available through the Databricks partner ecosystem.</w:t>
      </w:r>
    </w:p>
    <w:p>
      <w:pPr>
        <w:pStyle w:val="ListParagraph"/>
        <w:numPr>
          <w:ilvl w:val="0"/>
          <w:numId w:val="2"/>
        </w:numPr>
        <w:spacing w:after="80"/>
      </w:pPr>
      <w:r>
        <w:rPr>
          <w:rFonts w:ascii="Arial" w:cs="Arial" w:eastAsia="Arial" w:hAnsi="Arial"/>
          <w:b/>
          <w:bCs/>
          <w:sz w:val="22"/>
          <w:szCs w:val="22"/>
        </w:rPr>
        <w:t xml:space="preserve">April 2026: </w:t>
      </w:r>
      <w:r>
        <w:rPr>
          <w:rFonts w:ascii="Arial" w:cs="Arial" w:eastAsia="Arial" w:hAnsi="Arial"/>
          <w:sz w:val="22"/>
          <w:szCs w:val="22"/>
        </w:rPr>
        <w:t xml:space="preserve">The latest iteration includes governed identity propagation, PII isolation, write-back, and domain adapters — all built for a live EchoStar engagement.</w:t>
      </w:r>
    </w:p>
    <w:p>
      <w:pPr>
        <w:spacing w:after="120"/>
      </w:pPr>
      <w:r>
        <w:rPr>
          <w:rFonts w:ascii="Arial" w:cs="Arial" w:eastAsia="Arial" w:hAnsi="Arial"/>
          <w:i/>
          <w:iCs/>
          <w:color w:val="555555"/>
          <w:sz w:val="22"/>
          <w:szCs w:val="22"/>
        </w:rPr>
        <w:t xml:space="preserve">Transition: “Let me show you what problem this solves.”</w:t>
      </w:r>
    </w:p>
    <w:p>
      <w:r>
        <w:br w:type="page"/>
      </w:r>
    </w:p>
    <w:p>
      <w:pPr>
        <w:pStyle w:val="Heading1"/>
        <w:spacing w:after="200" w:before="400"/>
      </w:pPr>
      <w:r>
        <w:rPr>
          <w:rFonts w:ascii="Arial" w:cs="Arial" w:eastAsia="Arial" w:hAnsi="Arial"/>
          <w:b/>
          <w:bCs/>
          <w:color w:val="1B3A5C"/>
          <w:sz w:val="32"/>
          <w:szCs w:val="32"/>
        </w:rPr>
        <w:t xml:space="preserve">Slide 2 — Business Challenge</w:t>
      </w:r>
    </w:p>
    <w:p>
      <w:pPr>
        <w:spacing w:after="80"/>
      </w:pPr>
      <w:r>
        <w:rPr>
          <w:rFonts w:ascii="Arial" w:cs="Arial" w:eastAsia="Arial" w:hAnsi="Arial"/>
          <w:i/>
          <w:iCs/>
          <w:color w:val="888888"/>
          <w:sz w:val="18"/>
          <w:szCs w:val="18"/>
        </w:rPr>
        <w:t xml:space="preserve">Dwell: 2:30 | Persona focus: CFO, Finance Ops Director | Transition: Problem → Solution</w:t>
      </w:r>
    </w:p>
    <w:p>
      <w:pPr>
        <w:pBdr>
          <w:left w:val="single" w:color="3D7AB5" w:sz="6" w:space="8"/>
        </w:pBdr>
        <w:spacing w:after="120"/>
        <w:ind w:left="360"/>
      </w:pPr>
      <w:r>
        <w:rPr>
          <w:rFonts w:ascii="Georgia" w:cs="Georgia" w:eastAsia="Georgia" w:hAnsi="Georgia"/>
          <w:sz w:val="22"/>
          <w:szCs w:val="22"/>
        </w:rPr>
        <w:t xml:space="preserve">Three things are broken in enterprise billing analytics today, and they compound each other.</w:t>
      </w:r>
    </w:p>
    <w:p>
      <w:pPr>
        <w:pBdr>
          <w:left w:val="single" w:color="3D7AB5" w:sz="6" w:space="8"/>
        </w:pBdr>
        <w:spacing w:after="120"/>
        <w:ind w:left="360"/>
      </w:pPr>
      <w:r>
        <w:rPr>
          <w:rFonts w:ascii="Georgia" w:cs="Georgia" w:eastAsia="Georgia" w:hAnsi="Georgia"/>
          <w:sz w:val="22"/>
          <w:szCs w:val="22"/>
        </w:rPr>
        <w:t xml:space="preserve">First — fragmented billing visibility. Your billing data lives in the billing engine. Your revenue recognition lives in SAP or Oracle. Your usage events come from an operational system. Your warehouse telemetry lives in Databricks system tables. Nobody has a single view. A finance analyst who wants to understand why a customer’s bill doubled has to file a ticket, wait for a query, get a spreadsheet, and manually cross-reference. That cycle takes days. Revenue leakage hides in those delays.</w:t>
      </w:r>
    </w:p>
    <w:p>
      <w:pPr>
        <w:pBdr>
          <w:left w:val="single" w:color="3D7AB5" w:sz="6" w:space="8"/>
        </w:pBdr>
        <w:spacing w:after="120"/>
        <w:ind w:left="360"/>
      </w:pPr>
      <w:r>
        <w:rPr>
          <w:rFonts w:ascii="Georgia" w:cs="Georgia" w:eastAsia="Georgia" w:hAnsi="Georgia"/>
          <w:sz w:val="22"/>
          <w:szCs w:val="22"/>
        </w:rPr>
        <w:t xml:space="preserve">Second — manual investigation processes. When an anomaly surfaces, it goes into a queue. An analyst writes ad-hoc SQL, builds a one-off spreadsheet, maybe escalates to a data engineer for a deeper cut. That’s a multi-day cycle per anomaly. At enterprise scale you’re generating hundreds of anomalies per billing cycle. The math doesn’t work.</w:t>
      </w:r>
    </w:p>
    <w:p>
      <w:pPr>
        <w:pBdr>
          <w:left w:val="single" w:color="3D7AB5" w:sz="6" w:space="8"/>
        </w:pBdr>
        <w:spacing w:after="120"/>
        <w:ind w:left="360"/>
      </w:pPr>
      <w:r>
        <w:rPr>
          <w:rFonts w:ascii="Georgia" w:cs="Georgia" w:eastAsia="Georgia" w:hAnsi="Georgia"/>
          <w:sz w:val="22"/>
          <w:szCs w:val="22"/>
        </w:rPr>
        <w:t xml:space="preserve">Third — limited operational insight. Finance teams can’t self-serve. They depend on dashboards that were built months ago, or they wait for the data team to answer a question. There are no audit trails when someone does act on an anomaly. And nobody is monitoring whether the analytics platform itself is healthy. You’re flying blind on the system that’s supposed to give you visibility.</w:t>
      </w:r>
    </w:p>
    <w:p>
      <w:pPr>
        <w:pStyle w:val="Heading3"/>
        <w:spacing w:after="120" w:before="240"/>
      </w:pPr>
      <w:r>
        <w:rPr>
          <w:rFonts w:ascii="Arial" w:cs="Arial" w:eastAsia="Arial" w:hAnsi="Arial"/>
          <w:b/>
          <w:bCs/>
          <w:color w:val="3D7AB5"/>
          <w:sz w:val="22"/>
          <w:szCs w:val="22"/>
        </w:rPr>
        <w:t xml:space="preserve">Persona-targeted callouts</w:t>
      </w:r>
    </w:p>
    <w:p>
      <w:pPr>
        <w:pStyle w:val="ListParagraph"/>
        <w:numPr>
          <w:ilvl w:val="0"/>
          <w:numId w:val="3"/>
        </w:numPr>
        <w:spacing w:after="80"/>
      </w:pPr>
      <w:r>
        <w:rPr>
          <w:rFonts w:ascii="Arial" w:cs="Arial" w:eastAsia="Arial" w:hAnsi="Arial"/>
          <w:b/>
          <w:bCs/>
          <w:sz w:val="22"/>
          <w:szCs w:val="22"/>
        </w:rPr>
        <w:t xml:space="preserve">For the CFO: </w:t>
      </w:r>
      <w:r>
        <w:rPr>
          <w:rFonts w:ascii="Arial" w:cs="Arial" w:eastAsia="Arial" w:hAnsi="Arial"/>
          <w:sz w:val="22"/>
          <w:szCs w:val="22"/>
        </w:rPr>
        <w:t xml:space="preserve">“The cost isn’t just the revenue leakage. It’s the FTEs spending 40% of their week on manual investigation instead of strategic analysis.”</w:t>
      </w:r>
    </w:p>
    <w:p>
      <w:pPr>
        <w:pStyle w:val="ListParagraph"/>
        <w:numPr>
          <w:ilvl w:val="0"/>
          <w:numId w:val="3"/>
        </w:numPr>
        <w:spacing w:after="80"/>
      </w:pPr>
      <w:r>
        <w:rPr>
          <w:rFonts w:ascii="Arial" w:cs="Arial" w:eastAsia="Arial" w:hAnsi="Arial"/>
          <w:b/>
          <w:bCs/>
          <w:sz w:val="22"/>
          <w:szCs w:val="22"/>
        </w:rPr>
        <w:t xml:space="preserve">For the CTO: </w:t>
      </w:r>
      <w:r>
        <w:rPr>
          <w:rFonts w:ascii="Arial" w:cs="Arial" w:eastAsia="Arial" w:hAnsi="Arial"/>
          <w:sz w:val="22"/>
          <w:szCs w:val="22"/>
        </w:rPr>
        <w:t xml:space="preserve">“Your data team is the bottleneck. Every billing question turns into a ticket. That’s not a data problem — it’s an access problem.”</w:t>
      </w:r>
    </w:p>
    <w:p>
      <w:pPr>
        <w:spacing w:after="120"/>
      </w:pPr>
      <w:r>
        <w:rPr>
          <w:rFonts w:ascii="Arial" w:cs="Arial" w:eastAsia="Arial" w:hAnsi="Arial"/>
          <w:i/>
          <w:iCs/>
          <w:color w:val="555555"/>
          <w:sz w:val="22"/>
          <w:szCs w:val="22"/>
        </w:rPr>
        <w:t xml:space="preserve">Transition: “This is exactly what the accelerator was built to solve. Let me walk you through how.”</w:t>
      </w:r>
    </w:p>
    <w:p>
      <w:r>
        <w:br w:type="page"/>
      </w:r>
    </w:p>
    <w:p>
      <w:pPr>
        <w:pStyle w:val="Heading1"/>
        <w:spacing w:after="200" w:before="400"/>
      </w:pPr>
      <w:r>
        <w:rPr>
          <w:rFonts w:ascii="Arial" w:cs="Arial" w:eastAsia="Arial" w:hAnsi="Arial"/>
          <w:b/>
          <w:bCs/>
          <w:color w:val="1B3A5C"/>
          <w:sz w:val="32"/>
          <w:szCs w:val="32"/>
        </w:rPr>
        <w:t xml:space="preserve">Slide 3 — Accelerator Overview</w:t>
      </w:r>
    </w:p>
    <w:p>
      <w:pPr>
        <w:spacing w:after="80"/>
      </w:pPr>
      <w:r>
        <w:rPr>
          <w:rFonts w:ascii="Arial" w:cs="Arial" w:eastAsia="Arial" w:hAnsi="Arial"/>
          <w:i/>
          <w:iCs/>
          <w:color w:val="888888"/>
          <w:sz w:val="18"/>
          <w:szCs w:val="18"/>
        </w:rPr>
        <w:t xml:space="preserve">Dwell: 3:00 | Persona focus: All | Transition: High-level capabilities → Use cases</w:t>
      </w:r>
    </w:p>
    <w:p>
      <w:pPr>
        <w:spacing w:after="120"/>
      </w:pPr>
      <w:r>
        <w:rPr>
          <w:rFonts w:ascii="Arial" w:cs="Arial" w:eastAsia="Arial" w:hAnsi="Arial"/>
          <w:i/>
          <w:iCs/>
          <w:color w:val="555555"/>
          <w:sz w:val="22"/>
          <w:szCs w:val="22"/>
        </w:rPr>
        <w:t xml:space="preserve">This is the densest slide in the deck. Don’t try to read every box. Use it as a visual anchor and narrate the three capability pillars.</w:t>
      </w:r>
    </w:p>
    <w:p>
      <w:pPr>
        <w:pBdr>
          <w:left w:val="single" w:color="3D7AB5" w:sz="6" w:space="8"/>
        </w:pBdr>
        <w:spacing w:after="120"/>
        <w:ind w:left="360"/>
      </w:pPr>
      <w:r>
        <w:rPr>
          <w:rFonts w:ascii="Georgia" w:cs="Georgia" w:eastAsia="Georgia" w:hAnsi="Georgia"/>
          <w:sz w:val="22"/>
          <w:szCs w:val="22"/>
        </w:rPr>
        <w:t xml:space="preserve">The accelerator solves those three problems with three capabilities, all running natively on the Databricks Lakehouse.</w:t>
      </w:r>
    </w:p>
    <w:p>
      <w:pPr>
        <w:pBdr>
          <w:left w:val="single" w:color="3D7AB5" w:sz="6" w:space="8"/>
        </w:pBdr>
        <w:spacing w:after="120"/>
        <w:ind w:left="360"/>
      </w:pPr>
      <w:r>
        <w:rPr>
          <w:rFonts w:ascii="Georgia" w:cs="Georgia" w:eastAsia="Georgia" w:hAnsi="Georgia"/>
          <w:sz w:val="22"/>
          <w:szCs w:val="22"/>
        </w:rPr>
        <w:t xml:space="preserve">Pillar one: Automated Billing Intelligence. The system deploys 19 governed agent tools. Fourteen of those are Unity Catalog functions — SQL tools that execute with definer rights against governed tables. The agent doesn’t hallucinate answers — it runs real queries. Anomaly detection uses z-score analysis for charge spikes and multiplier-based detection for roaming and international overages. When the agent detects an anomaly, it can initiate a dispute — through a governed write-back flow with token-gated confirmation and dual-identity audit trails. The human user and the service principal are both recorded in every write operation.</w:t>
      </w:r>
    </w:p>
    <w:p>
      <w:pPr>
        <w:pBdr>
          <w:left w:val="single" w:color="3D7AB5" w:sz="6" w:space="8"/>
        </w:pBdr>
        <w:spacing w:after="120"/>
        <w:ind w:left="360"/>
      </w:pPr>
      <w:r>
        <w:rPr>
          <w:rFonts w:ascii="Georgia" w:cs="Georgia" w:eastAsia="Georgia" w:hAnsi="Georgia"/>
          <w:sz w:val="22"/>
          <w:szCs w:val="22"/>
        </w:rPr>
        <w:t xml:space="preserve">Pillar two: Accelerated Insight Generation. Genie Spaces provide conversational BI. Finance users ask questions in plain English — ‘what’s the average monthly charge by plan tier?’ — and Genie translates that to SQL, runs it on Serverless, returns the result. No SQL knowledge required. And the Genie Space only sees a PII-safe projection. It literally cannot surface customer names, emails, or phone numbers in its generated queries, because those columns don’t exist in the view it’s querying. Persona-filtered access controls determine which Genie capabilities each user can invoke.</w:t>
      </w:r>
    </w:p>
    <w:p>
      <w:pPr>
        <w:pBdr>
          <w:left w:val="single" w:color="3D7AB5" w:sz="6" w:space="8"/>
        </w:pBdr>
        <w:spacing w:after="120"/>
        <w:ind w:left="360"/>
      </w:pPr>
      <w:r>
        <w:rPr>
          <w:rFonts w:ascii="Georgia" w:cs="Georgia" w:eastAsia="Georgia" w:hAnsi="Georgia"/>
          <w:sz w:val="22"/>
          <w:szCs w:val="22"/>
        </w:rPr>
        <w:t xml:space="preserve">Pillar three: Operationalized Billing Analytics. Everything is governed end-to-end through Unity Catalog. PII is isolated at the schema level — the agent’s service principal has REVOKE USE SCHEMA on the internal schema, which is a hard boundary, not a prompt instruction. UC tags drive governance policies at the catalog, schema, and object level. Domain adapters let you swap industry vocabulary without changing the pipeline — telco subscribers become SaaS customers become utility accounts. Same architecture, different terminology.</w:t>
      </w:r>
    </w:p>
    <w:p>
      <w:pPr>
        <w:pStyle w:val="Heading3"/>
        <w:spacing w:after="120" w:before="240"/>
      </w:pPr>
      <w:r>
        <w:rPr>
          <w:rFonts w:ascii="Arial" w:cs="Arial" w:eastAsia="Arial" w:hAnsi="Arial"/>
          <w:b/>
          <w:bCs/>
          <w:color w:val="3D7AB5"/>
          <w:sz w:val="22"/>
          <w:szCs w:val="22"/>
        </w:rPr>
        <w:t xml:space="preserve">Technical specifics to have ready</w:t>
      </w:r>
    </w:p>
    <w:p>
      <w:pPr>
        <w:pStyle w:val="ListParagraph"/>
        <w:numPr>
          <w:ilvl w:val="0"/>
          <w:numId w:val="4"/>
        </w:numPr>
        <w:spacing w:after="80"/>
      </w:pPr>
      <w:r>
        <w:rPr>
          <w:rFonts w:ascii="Arial" w:cs="Arial" w:eastAsia="Arial" w:hAnsi="Arial"/>
          <w:b/>
          <w:bCs/>
          <w:sz w:val="22"/>
          <w:szCs w:val="22"/>
        </w:rPr>
        <w:t xml:space="preserve">19 tools: </w:t>
      </w:r>
      <w:r>
        <w:rPr>
          <w:rFonts w:ascii="Arial" w:cs="Arial" w:eastAsia="Arial" w:hAnsi="Arial"/>
          <w:sz w:val="22"/>
          <w:szCs w:val="22"/>
        </w:rPr>
        <w:t xml:space="preserve">14 UC function lookups + 1 vector search (FAQ) + 1 Genie delegation + 3 write-back tools (request, confirm, cancel)</w:t>
      </w:r>
    </w:p>
    <w:p>
      <w:pPr>
        <w:pStyle w:val="ListParagraph"/>
        <w:numPr>
          <w:ilvl w:val="0"/>
          <w:numId w:val="4"/>
        </w:numPr>
        <w:spacing w:after="80"/>
      </w:pPr>
      <w:r>
        <w:rPr>
          <w:rFonts w:ascii="Arial" w:cs="Arial" w:eastAsia="Arial" w:hAnsi="Arial"/>
          <w:b/>
          <w:bCs/>
          <w:sz w:val="22"/>
          <w:szCs w:val="22"/>
        </w:rPr>
        <w:t xml:space="preserve">Anomaly thresholds: </w:t>
      </w:r>
      <w:r>
        <w:rPr>
          <w:rFonts w:ascii="Arial" w:cs="Arial" w:eastAsia="Arial" w:hAnsi="Arial"/>
          <w:sz w:val="22"/>
          <w:szCs w:val="22"/>
        </w:rPr>
        <w:t xml:space="preserve">z-score &gt; 2.0 for total charge spikes, 3x mean multiplier for roaming/international/data overages</w:t>
      </w:r>
    </w:p>
    <w:p>
      <w:pPr>
        <w:pStyle w:val="ListParagraph"/>
        <w:numPr>
          <w:ilvl w:val="0"/>
          <w:numId w:val="4"/>
        </w:numPr>
        <w:spacing w:after="80"/>
      </w:pPr>
      <w:r>
        <w:rPr>
          <w:rFonts w:ascii="Arial" w:cs="Arial" w:eastAsia="Arial" w:hAnsi="Arial"/>
          <w:b/>
          <w:bCs/>
          <w:sz w:val="22"/>
          <w:szCs w:val="22"/>
        </w:rPr>
        <w:t xml:space="preserve">HMAC signing: </w:t>
      </w:r>
      <w:r>
        <w:rPr>
          <w:rFonts w:ascii="Arial" w:cs="Arial" w:eastAsia="Arial" w:hAnsi="Arial"/>
          <w:sz w:val="22"/>
          <w:szCs w:val="22"/>
        </w:rPr>
        <w:t xml:space="preserve">SHA-256 with deterministic JSON serialization (sort_keys=True, separators=(“,”,“:”)). Key stored in Databricks Secret Scope.</w:t>
      </w:r>
    </w:p>
    <w:p>
      <w:pPr>
        <w:pStyle w:val="ListParagraph"/>
        <w:numPr>
          <w:ilvl w:val="0"/>
          <w:numId w:val="4"/>
        </w:numPr>
        <w:spacing w:after="80"/>
      </w:pPr>
      <w:r>
        <w:rPr>
          <w:rFonts w:ascii="Arial" w:cs="Arial" w:eastAsia="Arial" w:hAnsi="Arial"/>
          <w:b/>
          <w:bCs/>
          <w:sz w:val="22"/>
          <w:szCs w:val="22"/>
        </w:rPr>
        <w:t xml:space="preserve">PII isolation: </w:t>
      </w:r>
      <w:r>
        <w:rPr>
          <w:rFonts w:ascii="Arial" w:cs="Arial" w:eastAsia="Arial" w:hAnsi="Arial"/>
          <w:sz w:val="22"/>
          <w:szCs w:val="22"/>
        </w:rPr>
        <w:t xml:space="preserve">lookup_customer returns only customer_id, device_id, plan, contract_start_dt. PII function lives in {schema}_internal schema.</w:t>
      </w:r>
    </w:p>
    <w:p>
      <w:pPr>
        <w:spacing w:after="120"/>
      </w:pPr>
      <w:r>
        <w:rPr>
          <w:rFonts w:ascii="Arial" w:cs="Arial" w:eastAsia="Arial" w:hAnsi="Arial"/>
          <w:i/>
          <w:iCs/>
          <w:color w:val="555555"/>
          <w:sz w:val="22"/>
          <w:szCs w:val="22"/>
        </w:rPr>
        <w:t xml:space="preserve">Transition: “Let me make this concrete. Here’s how these capabilities map to real use cases and the people in your organization who would use them.”</w:t>
      </w:r>
    </w:p>
    <w:p>
      <w:r>
        <w:br w:type="page"/>
      </w:r>
    </w:p>
    <w:p>
      <w:pPr>
        <w:pStyle w:val="Heading1"/>
        <w:spacing w:after="200" w:before="400"/>
      </w:pPr>
      <w:r>
        <w:rPr>
          <w:rFonts w:ascii="Arial" w:cs="Arial" w:eastAsia="Arial" w:hAnsi="Arial"/>
          <w:b/>
          <w:bCs/>
          <w:color w:val="1B3A5C"/>
          <w:sz w:val="32"/>
          <w:szCs w:val="32"/>
        </w:rPr>
        <w:t xml:space="preserve">Slide 4 — Use Cases and Personas</w:t>
      </w:r>
    </w:p>
    <w:p>
      <w:pPr>
        <w:spacing w:after="80"/>
      </w:pPr>
      <w:r>
        <w:rPr>
          <w:rFonts w:ascii="Arial" w:cs="Arial" w:eastAsia="Arial" w:hAnsi="Arial"/>
          <w:i/>
          <w:iCs/>
          <w:color w:val="888888"/>
          <w:sz w:val="18"/>
          <w:szCs w:val="18"/>
        </w:rPr>
        <w:t xml:space="preserve">Dwell: 2:30 | Persona focus: Mapping to buyer’s org chart | Transition: Use cases → How it flows</w:t>
      </w:r>
    </w:p>
    <w:p>
      <w:pPr>
        <w:pBdr>
          <w:left w:val="single" w:color="3D7AB5" w:sz="6" w:space="8"/>
        </w:pBdr>
        <w:spacing w:after="120"/>
        <w:ind w:left="360"/>
      </w:pPr>
      <w:r>
        <w:rPr>
          <w:rFonts w:ascii="Georgia" w:cs="Georgia" w:eastAsia="Georgia" w:hAnsi="Georgia"/>
          <w:sz w:val="22"/>
          <w:szCs w:val="22"/>
        </w:rPr>
        <w:t xml:space="preserve">Three use cases, each with a distinct persona pathway.</w:t>
      </w:r>
    </w:p>
    <w:p>
      <w:pPr>
        <w:pBdr>
          <w:left w:val="single" w:color="3D7AB5" w:sz="6" w:space="8"/>
        </w:pBdr>
        <w:spacing w:after="120"/>
        <w:ind w:left="360"/>
      </w:pPr>
      <w:r>
        <w:rPr>
          <w:rFonts w:ascii="Georgia" w:cs="Georgia" w:eastAsia="Georgia" w:hAnsi="Georgia"/>
          <w:sz w:val="22"/>
          <w:szCs w:val="22"/>
        </w:rPr>
        <w:t xml:space="preserve">Automated Billing Anomaly Detection. The agent runs anomaly scoring on a schedule — daily for anomaly detection, every few hours for platform health. It computes per-customer baselines from billing history, then flags statistical outliers. These aren’t static thresholds — they’re adaptive per customer. Anomalies get severity-classified: CRITICAL, HIGH, MEDIUM. All 14 UC functions have LIMIT clauses and lookback caps, so the agent can’t accidentally scan unbounded data. The CFO sees aggregate exposure. Finance Ops sees the triage queue.</w:t>
      </w:r>
    </w:p>
    <w:p>
      <w:pPr>
        <w:pBdr>
          <w:left w:val="single" w:color="3D7AB5" w:sz="6" w:space="8"/>
        </w:pBdr>
        <w:spacing w:after="120"/>
        <w:ind w:left="360"/>
      </w:pPr>
      <w:r>
        <w:rPr>
          <w:rFonts w:ascii="Georgia" w:cs="Georgia" w:eastAsia="Georgia" w:hAnsi="Georgia"/>
          <w:sz w:val="22"/>
          <w:szCs w:val="22"/>
        </w:rPr>
        <w:t xml:space="preserve">Conversational Billing Intelligence via Genie. This is the self-service layer. Finance teams, BI managers, analytics leads — they ask questions in natural language and get SQL-backed answers. No ticket, no waiting, no dependency on a data engineer. The Genie Space is scoped to a PII-safe view — that’s a design-time constraint, not a runtime filter.</w:t>
      </w:r>
    </w:p>
    <w:p>
      <w:pPr>
        <w:pBdr>
          <w:left w:val="single" w:color="3D7AB5" w:sz="6" w:space="8"/>
        </w:pBdr>
        <w:spacing w:after="120"/>
        <w:ind w:left="360"/>
      </w:pPr>
      <w:r>
        <w:rPr>
          <w:rFonts w:ascii="Georgia" w:cs="Georgia" w:eastAsia="Georgia" w:hAnsi="Georgia"/>
          <w:sz w:val="22"/>
          <w:szCs w:val="22"/>
        </w:rPr>
        <w:t xml:space="preserve">AI-Assisted Billing Investigation. When someone needs to act — create a dispute, acknowledge an anomaly, escalate an issue — the agent handles it through governed agentic write-back. Token-gated confirmation means the agent stages the write, the user explicitly confirms, and only then does the write execute. Every write records two identities: the human who initiated it and the service principal that executed it. If the write involves a table tagged with gov.identity.mode=required and the user’s identity context is missing, the write is blocked. Hard stop.</w:t>
      </w:r>
    </w:p>
    <w:p>
      <w:pPr>
        <w:pStyle w:val="Heading3"/>
        <w:spacing w:after="120" w:before="240"/>
      </w:pPr>
      <w:r>
        <w:rPr>
          <w:rFonts w:ascii="Arial" w:cs="Arial" w:eastAsia="Arial" w:hAnsi="Arial"/>
          <w:b/>
          <w:bCs/>
          <w:color w:val="3D7AB5"/>
          <w:sz w:val="22"/>
          <w:szCs w:val="22"/>
        </w:rPr>
        <w:t xml:space="preserve">Influencer mapping</w:t>
      </w:r>
    </w:p>
    <w:p>
      <w:pPr>
        <w:pStyle w:val="ListParagraph"/>
        <w:numPr>
          <w:ilvl w:val="0"/>
          <w:numId w:val="5"/>
        </w:numPr>
        <w:spacing w:after="80"/>
      </w:pPr>
      <w:r>
        <w:rPr>
          <w:rFonts w:ascii="Arial" w:cs="Arial" w:eastAsia="Arial" w:hAnsi="Arial"/>
          <w:b/>
          <w:bCs/>
          <w:sz w:val="22"/>
          <w:szCs w:val="22"/>
        </w:rPr>
        <w:t xml:space="preserve">Decision maker: </w:t>
      </w:r>
      <w:r>
        <w:rPr>
          <w:rFonts w:ascii="Arial" w:cs="Arial" w:eastAsia="Arial" w:hAnsi="Arial"/>
          <w:sz w:val="22"/>
          <w:szCs w:val="22"/>
        </w:rPr>
        <w:t xml:space="preserve">CFO, Finance Operations Director — owns the budget, cares about anomaly exposure and FTE efficiency</w:t>
      </w:r>
    </w:p>
    <w:p>
      <w:pPr>
        <w:pStyle w:val="ListParagraph"/>
        <w:numPr>
          <w:ilvl w:val="0"/>
          <w:numId w:val="5"/>
        </w:numPr>
        <w:spacing w:after="80"/>
      </w:pPr>
      <w:r>
        <w:rPr>
          <w:rFonts w:ascii="Arial" w:cs="Arial" w:eastAsia="Arial" w:hAnsi="Arial"/>
          <w:b/>
          <w:bCs/>
          <w:sz w:val="22"/>
          <w:szCs w:val="22"/>
        </w:rPr>
        <w:t xml:space="preserve">Technical evaluator: </w:t>
      </w:r>
      <w:r>
        <w:rPr>
          <w:rFonts w:ascii="Arial" w:cs="Arial" w:eastAsia="Arial" w:hAnsi="Arial"/>
          <w:sz w:val="22"/>
          <w:szCs w:val="22"/>
        </w:rPr>
        <w:t xml:space="preserve">CTO, Head of Data Engineering — validates architecture, governance, platform fit</w:t>
      </w:r>
    </w:p>
    <w:p>
      <w:pPr>
        <w:pStyle w:val="ListParagraph"/>
        <w:numPr>
          <w:ilvl w:val="0"/>
          <w:numId w:val="5"/>
        </w:numPr>
        <w:spacing w:after="80"/>
      </w:pPr>
      <w:r>
        <w:rPr>
          <w:rFonts w:ascii="Arial" w:cs="Arial" w:eastAsia="Arial" w:hAnsi="Arial"/>
          <w:b/>
          <w:bCs/>
          <w:sz w:val="22"/>
          <w:szCs w:val="22"/>
        </w:rPr>
        <w:t xml:space="preserve">Day-to-day user: </w:t>
      </w:r>
      <w:r>
        <w:rPr>
          <w:rFonts w:ascii="Arial" w:cs="Arial" w:eastAsia="Arial" w:hAnsi="Arial"/>
          <w:sz w:val="22"/>
          <w:szCs w:val="22"/>
        </w:rPr>
        <w:t xml:space="preserve">Finance Analytics Lead, BI Manager — will use Genie daily, needs to see self-service in action</w:t>
      </w:r>
    </w:p>
    <w:p>
      <w:pPr>
        <w:spacing w:after="120"/>
      </w:pPr>
      <w:r>
        <w:rPr>
          <w:rFonts w:ascii="Arial" w:cs="Arial" w:eastAsia="Arial" w:hAnsi="Arial"/>
          <w:i/>
          <w:iCs/>
          <w:color w:val="555555"/>
          <w:sz w:val="22"/>
          <w:szCs w:val="22"/>
        </w:rPr>
        <w:t xml:space="preserve">Transition: “Now let me show you how the data actually flows through this system.”</w:t>
      </w:r>
    </w:p>
    <w:p>
      <w:r>
        <w:br w:type="page"/>
      </w:r>
    </w:p>
    <w:p>
      <w:pPr>
        <w:pStyle w:val="Heading1"/>
        <w:spacing w:after="200" w:before="400"/>
      </w:pPr>
      <w:r>
        <w:rPr>
          <w:rFonts w:ascii="Arial" w:cs="Arial" w:eastAsia="Arial" w:hAnsi="Arial"/>
          <w:b/>
          <w:bCs/>
          <w:color w:val="1B3A5C"/>
          <w:sz w:val="32"/>
          <w:szCs w:val="32"/>
        </w:rPr>
        <w:t xml:space="preserve">Slide 5 — Process Flow</w:t>
      </w:r>
    </w:p>
    <w:p>
      <w:pPr>
        <w:spacing w:after="80"/>
      </w:pPr>
      <w:r>
        <w:rPr>
          <w:rFonts w:ascii="Arial" w:cs="Arial" w:eastAsia="Arial" w:hAnsi="Arial"/>
          <w:i/>
          <w:iCs/>
          <w:color w:val="888888"/>
          <w:sz w:val="18"/>
          <w:szCs w:val="18"/>
        </w:rPr>
        <w:t xml:space="preserve">Dwell: 2:30 | Persona focus: CTO, Head of Data Engineering | Transition: Flow → Components</w:t>
      </w:r>
    </w:p>
    <w:p>
      <w:pPr>
        <w:spacing w:after="120"/>
      </w:pPr>
      <w:r>
        <w:rPr>
          <w:rFonts w:ascii="Arial" w:cs="Arial" w:eastAsia="Arial" w:hAnsi="Arial"/>
          <w:i/>
          <w:iCs/>
          <w:color w:val="555555"/>
          <w:sz w:val="22"/>
          <w:szCs w:val="22"/>
        </w:rPr>
        <w:t xml:space="preserve">This diagram shows the end-to-end data flow. Walk it top-to-bottom, left-to-right. Don’t linger on every box — hit the four layers.</w:t>
      </w:r>
    </w:p>
    <w:p>
      <w:pPr>
        <w:pBdr>
          <w:left w:val="single" w:color="3D7AB5" w:sz="6" w:space="8"/>
        </w:pBdr>
        <w:spacing w:after="120"/>
        <w:ind w:left="360"/>
      </w:pPr>
      <w:r>
        <w:rPr>
          <w:rFonts w:ascii="Georgia" w:cs="Georgia" w:eastAsia="Georgia" w:hAnsi="Georgia"/>
          <w:sz w:val="22"/>
          <w:szCs w:val="22"/>
        </w:rPr>
        <w:t xml:space="preserve">Start at the top: Data Sources. Six source categories — billing platforms, ERP and finance systems, warehouse telemetry from Databricks system tables, operational and procurement data, external finance data, and Lakehouse Federation via Lakebase for zero-ETL access to external systems. That last one matters — for data that lives in SAP or Oracle, we don’t require an ETL pipeline. We federate it through Unity Catalog.</w:t>
      </w:r>
    </w:p>
    <w:p>
      <w:pPr>
        <w:pBdr>
          <w:left w:val="single" w:color="3D7AB5" w:sz="6" w:space="8"/>
        </w:pBdr>
        <w:spacing w:after="120"/>
        <w:ind w:left="360"/>
      </w:pPr>
      <w:r>
        <w:rPr>
          <w:rFonts w:ascii="Georgia" w:cs="Georgia" w:eastAsia="Georgia" w:hAnsi="Georgia"/>
          <w:sz w:val="22"/>
          <w:szCs w:val="22"/>
        </w:rPr>
        <w:t xml:space="preserve">Second layer: Lakehouse / Medallion. Standard Bronze-Silver-Gold pattern, all governed through Unity Catalog. Bronze is raw ingestion. Silver is cleansed and conformed — billing transactions joined with customer dimensions, KPI definitions computed, anomaly feature tables built. Gold is business-ready — revenue attribution, billing KPIs, anomaly scores. Every table, every column, governed with RBAC, ABAC, and full lineage.</w:t>
      </w:r>
    </w:p>
    <w:p>
      <w:pPr>
        <w:pBdr>
          <w:left w:val="single" w:color="3D7AB5" w:sz="6" w:space="8"/>
        </w:pBdr>
        <w:spacing w:after="120"/>
        <w:ind w:left="360"/>
      </w:pPr>
      <w:r>
        <w:rPr>
          <w:rFonts w:ascii="Georgia" w:cs="Georgia" w:eastAsia="Georgia" w:hAnsi="Georgia"/>
          <w:sz w:val="22"/>
          <w:szCs w:val="22"/>
        </w:rPr>
        <w:t xml:space="preserve">Third layer: Agentic Intelligence. This is where AgentBricks enters. The Anomaly Detection Agent runs on a schedule, computes baselines, flags outliers. When it finds a CRITICAL anomaly it escalates to the Investigation Agent, which traverses the billing chain — customer to plan to charge breakdown to ERP revenue recognition. The Genie Space sits alongside for fleet-wide analytics. Databricks Workflows handle scheduling, triggers, and MLflow-traced runs.</w:t>
      </w:r>
    </w:p>
    <w:p>
      <w:pPr>
        <w:pBdr>
          <w:left w:val="single" w:color="3D7AB5" w:sz="6" w:space="8"/>
        </w:pBdr>
        <w:spacing w:after="120"/>
        <w:ind w:left="360"/>
      </w:pPr>
      <w:r>
        <w:rPr>
          <w:rFonts w:ascii="Georgia" w:cs="Georgia" w:eastAsia="Georgia" w:hAnsi="Georgia"/>
          <w:sz w:val="22"/>
          <w:szCs w:val="22"/>
        </w:rPr>
        <w:t xml:space="preserve">Bottom layer: Business Consumption. Five output channels: AI/BI dashboards, Genie Q&amp;A for self-service, alerts and notifications via Slack/email/PagerDuty, guided investigation for dispute resolution, and shared KPI reporting for finance, ops, and executive leadership. And notice the dashed feedback loop from Genie — re-query, refine. This is conversational, not one-shot.</w:t>
      </w:r>
    </w:p>
    <w:p>
      <w:pPr>
        <w:pStyle w:val="Heading3"/>
        <w:spacing w:after="120" w:before="240"/>
      </w:pPr>
      <w:r>
        <w:rPr>
          <w:rFonts w:ascii="Arial" w:cs="Arial" w:eastAsia="Arial" w:hAnsi="Arial"/>
          <w:b/>
          <w:bCs/>
          <w:color w:val="3D7AB5"/>
          <w:sz w:val="22"/>
          <w:szCs w:val="22"/>
        </w:rPr>
        <w:t xml:space="preserve">Key architectural point</w:t>
      </w:r>
    </w:p>
    <w:p>
      <w:pPr>
        <w:pStyle w:val="ListParagraph"/>
        <w:numPr>
          <w:ilvl w:val="0"/>
          <w:numId w:val="6"/>
        </w:numPr>
        <w:spacing w:after="80"/>
      </w:pPr>
      <w:r>
        <w:rPr>
          <w:rFonts w:ascii="Arial" w:cs="Arial" w:eastAsia="Arial" w:hAnsi="Arial"/>
          <w:sz w:val="22"/>
          <w:szCs w:val="22"/>
        </w:rPr>
        <w:t xml:space="preserve">Unity Catalog spans the entire bottom bar. Governance isn’t a bolt-on — it’s the substrate. Access controls, column-level lineage, audit trail, SOX-ready compliance. Every table, every function, every agent tool is governed through UC.</w:t>
      </w:r>
    </w:p>
    <w:p>
      <w:pPr>
        <w:spacing w:after="120"/>
      </w:pPr>
      <w:r>
        <w:rPr>
          <w:rFonts w:ascii="Arial" w:cs="Arial" w:eastAsia="Arial" w:hAnsi="Arial"/>
          <w:i/>
          <w:iCs/>
          <w:color w:val="555555"/>
          <w:sz w:val="22"/>
          <w:szCs w:val="22"/>
        </w:rPr>
        <w:t xml:space="preserve">Transition: “Let me zoom into the component architecture to show you what sits inside each of those layers.”</w:t>
      </w:r>
    </w:p>
    <w:p>
      <w:r>
        <w:br w:type="page"/>
      </w:r>
    </w:p>
    <w:p>
      <w:pPr>
        <w:pStyle w:val="Heading1"/>
        <w:spacing w:after="200" w:before="400"/>
      </w:pPr>
      <w:r>
        <w:rPr>
          <w:rFonts w:ascii="Arial" w:cs="Arial" w:eastAsia="Arial" w:hAnsi="Arial"/>
          <w:b/>
          <w:bCs/>
          <w:color w:val="1B3A5C"/>
          <w:sz w:val="32"/>
          <w:szCs w:val="32"/>
        </w:rPr>
        <w:t xml:space="preserve">Slide 6 — Component Architecture</w:t>
      </w:r>
    </w:p>
    <w:p>
      <w:pPr>
        <w:spacing w:after="80"/>
      </w:pPr>
      <w:r>
        <w:rPr>
          <w:rFonts w:ascii="Arial" w:cs="Arial" w:eastAsia="Arial" w:hAnsi="Arial"/>
          <w:i/>
          <w:iCs/>
          <w:color w:val="888888"/>
          <w:sz w:val="18"/>
          <w:szCs w:val="18"/>
        </w:rPr>
        <w:t xml:space="preserve">Dwell: 2:30 | Persona focus: CTO, Head of Data Engineering | Transition: Components → Solution Architecture</w:t>
      </w:r>
    </w:p>
    <w:p>
      <w:pPr>
        <w:spacing w:after="120"/>
      </w:pPr>
      <w:r>
        <w:rPr>
          <w:rFonts w:ascii="Arial" w:cs="Arial" w:eastAsia="Arial" w:hAnsi="Arial"/>
          <w:i/>
          <w:iCs/>
          <w:color w:val="555555"/>
          <w:sz w:val="22"/>
          <w:szCs w:val="22"/>
        </w:rPr>
        <w:t xml:space="preserve">Four-column layout: Source Systems → Lakehouse Foundation → AI &amp; Analytics Layer → Consumption. Walk each column top-to-bottom.</w:t>
      </w:r>
    </w:p>
    <w:p>
      <w:pPr>
        <w:pBdr>
          <w:left w:val="single" w:color="3D7AB5" w:sz="6" w:space="8"/>
        </w:pBdr>
        <w:spacing w:after="120"/>
        <w:ind w:left="360"/>
      </w:pPr>
      <w:r>
        <w:rPr>
          <w:rFonts w:ascii="Georgia" w:cs="Georgia" w:eastAsia="Georgia" w:hAnsi="Georgia"/>
          <w:sz w:val="22"/>
          <w:szCs w:val="22"/>
        </w:rPr>
        <w:t xml:space="preserve">Source Systems column: Billing and invoicing platforms, ERP and finance systems, warehouse telemetry from Databricks system tables, operational and procurement data, and Lakehouse Federation for zero-ETL access. Five source categories that cover the full billing data landscape.</w:t>
      </w:r>
    </w:p>
    <w:p>
      <w:pPr>
        <w:pBdr>
          <w:left w:val="single" w:color="3D7AB5" w:sz="6" w:space="8"/>
        </w:pBdr>
        <w:spacing w:after="120"/>
        <w:ind w:left="360"/>
      </w:pPr>
      <w:r>
        <w:rPr>
          <w:rFonts w:ascii="Georgia" w:cs="Georgia" w:eastAsia="Georgia" w:hAnsi="Georgia"/>
          <w:sz w:val="22"/>
          <w:szCs w:val="22"/>
        </w:rPr>
        <w:t xml:space="preserve">Lakehouse Foundation column: six components. Unity Catalog governed tables in medallion architecture. Databricks SQL and Serverless compute for auto-scaling queries. Lineage, security, and auditability through column-level lineage, RBAC/ABAC, and full audit trails. Databricks Workflows for orchestration and scheduling. MLflow and Model Registry for agent versioning and promotion gates. This is the governed data plane.</w:t>
      </w:r>
    </w:p>
    <w:p>
      <w:pPr>
        <w:pBdr>
          <w:left w:val="single" w:color="3D7AB5" w:sz="6" w:space="8"/>
        </w:pBdr>
        <w:spacing w:after="120"/>
        <w:ind w:left="360"/>
      </w:pPr>
      <w:r>
        <w:rPr>
          <w:rFonts w:ascii="Georgia" w:cs="Georgia" w:eastAsia="Georgia" w:hAnsi="Georgia"/>
          <w:sz w:val="22"/>
          <w:szCs w:val="22"/>
        </w:rPr>
        <w:t xml:space="preserve">AI and Analytics Layer: where the intelligence lives. AgentBricks Anomaly Detection Agents continuously monitor billing telemetry. Investigation Workflows traverse billing chains and assemble evidence. Genie Conversational Analytics provides NL-to-SQL for finance users. Dashboards and alerts for threshold-triggered notifications. And Mosaic AI Model Serving for serverless inference — the LLM calls, embeddings, and classification workloads.</w:t>
      </w:r>
    </w:p>
    <w:p>
      <w:pPr>
        <w:pBdr>
          <w:left w:val="single" w:color="3D7AB5" w:sz="6" w:space="8"/>
        </w:pBdr>
        <w:spacing w:after="120"/>
        <w:ind w:left="360"/>
      </w:pPr>
      <w:r>
        <w:rPr>
          <w:rFonts w:ascii="Georgia" w:cs="Georgia" w:eastAsia="Georgia" w:hAnsi="Georgia"/>
          <w:sz w:val="22"/>
          <w:szCs w:val="22"/>
        </w:rPr>
        <w:t xml:space="preserve">Consumption column: maps directly to the personas on slide 4. Finance Operations Teams use Genie Q&amp;A and anomaly reports. BI users consume AI/BI dashboards and KPI drill-downs. Shared KPI Reporting gives standardized metrics across finance, ops, and executive leadership. And Guided Decision Support provides contextual recommendations from the investigation agent to accelerate dispute resolution.</w:t>
      </w:r>
    </w:p>
    <w:p>
      <w:pPr>
        <w:pStyle w:val="ListParagraph"/>
        <w:numPr>
          <w:ilvl w:val="0"/>
          <w:numId w:val="7"/>
        </w:numPr>
        <w:spacing w:after="80"/>
      </w:pPr>
      <w:r>
        <w:rPr>
          <w:rFonts w:ascii="Arial" w:cs="Arial" w:eastAsia="Arial" w:hAnsi="Arial"/>
          <w:sz w:val="22"/>
          <w:szCs w:val="22"/>
        </w:rPr>
        <w:t xml:space="preserve">Bottom bar: Unity Catalog — Governance Layer Across Every Component. This isn’t aspirational. Every box in this diagram touches UC for access controls, lineage, security policies, audit trail, and compliance.</w:t>
      </w:r>
    </w:p>
    <w:p>
      <w:pPr>
        <w:spacing w:after="120"/>
      </w:pPr>
      <w:r>
        <w:rPr>
          <w:rFonts w:ascii="Arial" w:cs="Arial" w:eastAsia="Arial" w:hAnsi="Arial"/>
          <w:i/>
          <w:iCs/>
          <w:color w:val="555555"/>
          <w:sz w:val="22"/>
          <w:szCs w:val="22"/>
        </w:rPr>
        <w:t xml:space="preserve">Transition: “Now let me show you the deeper solution architecture — how these components connect at the code level.”</w:t>
      </w:r>
    </w:p>
    <w:p>
      <w:r>
        <w:br w:type="page"/>
      </w:r>
    </w:p>
    <w:p>
      <w:pPr>
        <w:pStyle w:val="Heading1"/>
        <w:spacing w:after="200" w:before="400"/>
      </w:pPr>
      <w:r>
        <w:rPr>
          <w:rFonts w:ascii="Arial" w:cs="Arial" w:eastAsia="Arial" w:hAnsi="Arial"/>
          <w:b/>
          <w:bCs/>
          <w:color w:val="1B3A5C"/>
          <w:sz w:val="32"/>
          <w:szCs w:val="32"/>
        </w:rPr>
        <w:t xml:space="preserve">Slide 7 — Solution Architecture</w:t>
      </w:r>
    </w:p>
    <w:p>
      <w:pPr>
        <w:spacing w:after="80"/>
      </w:pPr>
      <w:r>
        <w:rPr>
          <w:rFonts w:ascii="Arial" w:cs="Arial" w:eastAsia="Arial" w:hAnsi="Arial"/>
          <w:i/>
          <w:iCs/>
          <w:color w:val="888888"/>
          <w:sz w:val="18"/>
          <w:szCs w:val="18"/>
        </w:rPr>
        <w:t xml:space="preserve">Dwell: 3:00 | Persona focus: CTO, Head of Data Engineering | Transition: Architecture → Proof point</w:t>
      </w:r>
    </w:p>
    <w:p>
      <w:pPr>
        <w:spacing w:after="120"/>
      </w:pPr>
      <w:r>
        <w:rPr>
          <w:rFonts w:ascii="Arial" w:cs="Arial" w:eastAsia="Arial" w:hAnsi="Arial"/>
          <w:i/>
          <w:iCs/>
          <w:color w:val="555555"/>
          <w:sz w:val="22"/>
          <w:szCs w:val="22"/>
        </w:rPr>
        <w:t xml:space="preserve">This is the deepest technical slide. Adapt dwell time to audience — if the room is mostly business, spend 2:00 and move to PepsiCo. If technical, spend 3:00+.</w:t>
      </w:r>
    </w:p>
    <w:p>
      <w:pPr>
        <w:pBdr>
          <w:left w:val="single" w:color="3D7AB5" w:sz="6" w:space="8"/>
        </w:pBdr>
        <w:spacing w:after="120"/>
        <w:ind w:left="360"/>
      </w:pPr>
      <w:r>
        <w:rPr>
          <w:rFonts w:ascii="Georgia" w:cs="Georgia" w:eastAsia="Georgia" w:hAnsi="Georgia"/>
          <w:sz w:val="22"/>
          <w:szCs w:val="22"/>
        </w:rPr>
        <w:t xml:space="preserve">Four columns again, but now at the code level. Left column: Data Sources feeding into the Governed Data Plane through ingest and sync. The medallion layers show specific table types — Bronze has raw billing event tables, ERP snapshots, system telemetry logs, finance feed archives. Silver has cleansed billing transactions, customer and account dimensions, conformed KPI definitions, anomaly signal feature tables. Gold has revenue attribution, billing KPI aggregates, anomaly scoring tables, and finance operations summaries. Every table governed by UC: RBAC, ABAC, column lineage, audit trail.</w:t>
      </w:r>
    </w:p>
    <w:p>
      <w:pPr>
        <w:pBdr>
          <w:left w:val="single" w:color="3D7AB5" w:sz="6" w:space="8"/>
        </w:pBdr>
        <w:spacing w:after="120"/>
        <w:ind w:left="360"/>
      </w:pPr>
      <w:r>
        <w:rPr>
          <w:rFonts w:ascii="Georgia" w:cs="Georgia" w:eastAsia="Georgia" w:hAnsi="Georgia"/>
          <w:sz w:val="22"/>
          <w:szCs w:val="22"/>
        </w:rPr>
        <w:t xml:space="preserve">Center-right: the Agentic Intelligence layer. Two agent platforms. AgentBricks provides the declarative agent framework — Anomaly Detection Agent for continuous monitoring and cost spike alerts, Investigation Agent for root-cause traversal and evidence assembly, Business Logic Agent for KPI context and domain rules, and an Orchestration Layer for agent-to-agent messaging and workflow triggers. All runs are MLflow-traced. Below that, Mosaic AI Model Serving provides the serverless inference layer.</w:t>
      </w:r>
    </w:p>
    <w:p>
      <w:pPr>
        <w:pBdr>
          <w:left w:val="single" w:color="3D7AB5" w:sz="6" w:space="8"/>
        </w:pBdr>
        <w:spacing w:after="120"/>
        <w:ind w:left="360"/>
      </w:pPr>
      <w:r>
        <w:rPr>
          <w:rFonts w:ascii="Georgia" w:cs="Georgia" w:eastAsia="Georgia" w:hAnsi="Georgia"/>
          <w:sz w:val="22"/>
          <w:szCs w:val="22"/>
        </w:rPr>
        <w:t xml:space="preserve">And then Genie Spaces for Conversational Analytics — NL-to-SQL translation, business question parsing, query intent classification, all grounded against UC metadata and finance KPI semantic layers. Runs on Databricks SQL Serverless with auto-scaling warehouses.</w:t>
      </w:r>
    </w:p>
    <w:p>
      <w:pPr>
        <w:pBdr>
          <w:left w:val="single" w:color="3D7AB5" w:sz="6" w:space="8"/>
        </w:pBdr>
        <w:spacing w:after="120"/>
        <w:ind w:left="360"/>
      </w:pPr>
      <w:r>
        <w:rPr>
          <w:rFonts w:ascii="Georgia" w:cs="Georgia" w:eastAsia="Georgia" w:hAnsi="Georgia"/>
          <w:sz w:val="22"/>
          <w:szCs w:val="22"/>
        </w:rPr>
        <w:t xml:space="preserve">Right column: Business Consumption. Six output surfaces: Genie Q&amp;A for self-service NL billing queries, AI/BI dashboards for real-time billing performance, alerts and notifications via Slack/email/PagerDuty, guided investigation for dispute resolution, and shared KPI reporting for standardized billing scorecards across finance, ops, and executive.</w:t>
      </w:r>
    </w:p>
    <w:p>
      <w:pPr>
        <w:pStyle w:val="Heading3"/>
        <w:spacing w:after="120" w:before="240"/>
      </w:pPr>
      <w:r>
        <w:rPr>
          <w:rFonts w:ascii="Arial" w:cs="Arial" w:eastAsia="Arial" w:hAnsi="Arial"/>
          <w:b/>
          <w:bCs/>
          <w:color w:val="3D7AB5"/>
          <w:sz w:val="22"/>
          <w:szCs w:val="22"/>
        </w:rPr>
        <w:t xml:space="preserve">Architecture principle to emphasize</w:t>
      </w:r>
    </w:p>
    <w:p>
      <w:pPr>
        <w:pStyle w:val="ListParagraph"/>
        <w:numPr>
          <w:ilvl w:val="0"/>
          <w:numId w:val="8"/>
        </w:numPr>
        <w:spacing w:after="80"/>
      </w:pPr>
      <w:r>
        <w:rPr>
          <w:rFonts w:ascii="Arial" w:cs="Arial" w:eastAsia="Arial" w:hAnsi="Arial"/>
          <w:sz w:val="22"/>
          <w:szCs w:val="22"/>
        </w:rPr>
        <w:t xml:space="preserve">Bottom bar: “Design principle: keep data and AI in one governed platform so billing intelligence stays auditable, scalable, and enterprise-ready.” This is the sentence that addresses every ‘what about governance?’ question before it’s asked.</w:t>
      </w:r>
    </w:p>
    <w:p>
      <w:pPr>
        <w:spacing w:after="120"/>
      </w:pPr>
      <w:r>
        <w:rPr>
          <w:rFonts w:ascii="Arial" w:cs="Arial" w:eastAsia="Arial" w:hAnsi="Arial"/>
          <w:i/>
          <w:iCs/>
          <w:color w:val="555555"/>
          <w:sz w:val="22"/>
          <w:szCs w:val="22"/>
        </w:rPr>
        <w:t xml:space="preserve">Transition: “That’s the architecture. Now let me show you where this has already been deployed.”</w:t>
      </w:r>
    </w:p>
    <w:p>
      <w:r>
        <w:br w:type="page"/>
      </w:r>
    </w:p>
    <w:p>
      <w:pPr>
        <w:pStyle w:val="Heading1"/>
        <w:spacing w:after="200" w:before="400"/>
      </w:pPr>
      <w:r>
        <w:rPr>
          <w:rFonts w:ascii="Arial" w:cs="Arial" w:eastAsia="Arial" w:hAnsi="Arial"/>
          <w:b/>
          <w:bCs/>
          <w:color w:val="1B3A5C"/>
          <w:sz w:val="32"/>
          <w:szCs w:val="32"/>
        </w:rPr>
        <w:t xml:space="preserve">Slide 8 — PepsiCo Case Study</w:t>
      </w:r>
    </w:p>
    <w:p>
      <w:pPr>
        <w:spacing w:after="80"/>
      </w:pPr>
      <w:r>
        <w:rPr>
          <w:rFonts w:ascii="Arial" w:cs="Arial" w:eastAsia="Arial" w:hAnsi="Arial"/>
          <w:i/>
          <w:iCs/>
          <w:color w:val="888888"/>
          <w:sz w:val="18"/>
          <w:szCs w:val="18"/>
        </w:rPr>
        <w:t xml:space="preserve">Dwell: 3:00 | Persona focus: All — this is the credibility slide | Transition: Proof point → Offering details</w:t>
      </w:r>
    </w:p>
    <w:p>
      <w:pPr>
        <w:pBdr>
          <w:left w:val="single" w:color="3D7AB5" w:sz="6" w:space="8"/>
        </w:pBdr>
        <w:spacing w:after="120"/>
        <w:ind w:left="360"/>
      </w:pPr>
      <w:r>
        <w:rPr>
          <w:rFonts w:ascii="Georgia" w:cs="Georgia" w:eastAsia="Georgia" w:hAnsi="Georgia"/>
          <w:sz w:val="22"/>
          <w:szCs w:val="22"/>
        </w:rPr>
        <w:t xml:space="preserve">PepsiCo needed to modernize global billing analytics while migrating hundreds of SQL warehouses to Databricks Serverless. Billing insights were fragmented across multiple systems, investigation was manual, and they wanted business users to access insights through natural language — all while ensuring strong governance during a large-scale migration.</w:t>
      </w:r>
    </w:p>
    <w:p>
      <w:pPr>
        <w:pBdr>
          <w:left w:val="single" w:color="3D7AB5" w:sz="6" w:space="8"/>
        </w:pBdr>
        <w:spacing w:after="120"/>
        <w:ind w:left="360"/>
      </w:pPr>
      <w:r>
        <w:rPr>
          <w:rFonts w:ascii="Georgia" w:cs="Georgia" w:eastAsia="Georgia" w:hAnsi="Georgia"/>
          <w:sz w:val="22"/>
          <w:szCs w:val="22"/>
        </w:rPr>
        <w:t xml:space="preserve">Entrada implemented the Customer Billing Accelerator as the core AI engine. We built a governed Lakehouse platform using LangGraph for deterministic orchestration, AgentBricks for multi-agent routing, Genie Spaces for conversational analytics, and HMAC-signed identity propagation for governed write-back. Databricks Professional Services were involved in delivery.</w:t>
      </w:r>
    </w:p>
    <w:p>
      <w:pPr>
        <w:pBdr>
          <w:left w:val="single" w:color="3D7AB5" w:sz="6" w:space="8"/>
        </w:pBdr>
        <w:spacing w:after="120"/>
        <w:ind w:left="360"/>
      </w:pPr>
      <w:r>
        <w:rPr>
          <w:rFonts w:ascii="Georgia" w:cs="Georgia" w:eastAsia="Georgia" w:hAnsi="Georgia"/>
          <w:sz w:val="22"/>
          <w:szCs w:val="22"/>
        </w:rPr>
        <w:t xml:space="preserve">Four results. First: up to 90% faster billing anomaly resolution. The z-score detection and governed agentic write-back replaced what was previously a multi-day manual investigation cycle. Second: up to 70% reduction in ad-hoc finance reporting requests. When finance teams can self-serve through Genie with persona-filtered access, they stop filing tickets to the data team. Third: Genie analytics moved from executive proof-of-concept to daily production use by finance teams. Fourth: validated the Lakebase plus AgentBricks architecture for governed agentic write-back inside the Lakehouse — that’s a significant architectural proof point.</w:t>
      </w:r>
    </w:p>
    <w:p>
      <w:pPr>
        <w:pStyle w:val="Heading3"/>
        <w:spacing w:after="120" w:before="240"/>
      </w:pPr>
      <w:r>
        <w:rPr>
          <w:rFonts w:ascii="Arial" w:cs="Arial" w:eastAsia="Arial" w:hAnsi="Arial"/>
          <w:b/>
          <w:bCs/>
          <w:color w:val="3D7AB5"/>
          <w:sz w:val="22"/>
          <w:szCs w:val="22"/>
        </w:rPr>
        <w:t xml:space="preserve">Handling the metrics</w:t>
      </w:r>
    </w:p>
    <w:p>
      <w:pPr>
        <w:pStyle w:val="ListParagraph"/>
        <w:numPr>
          <w:ilvl w:val="0"/>
          <w:numId w:val="9"/>
        </w:numPr>
        <w:spacing w:after="80"/>
      </w:pPr>
      <w:r>
        <w:rPr>
          <w:rFonts w:ascii="Arial" w:cs="Arial" w:eastAsia="Arial" w:hAnsi="Arial"/>
          <w:b/>
          <w:bCs/>
          <w:sz w:val="22"/>
          <w:szCs w:val="22"/>
        </w:rPr>
        <w:t xml:space="preserve">“Up to 90%” framing: </w:t>
      </w:r>
      <w:r>
        <w:rPr>
          <w:rFonts w:ascii="Arial" w:cs="Arial" w:eastAsia="Arial" w:hAnsi="Arial"/>
          <w:sz w:val="22"/>
          <w:szCs w:val="22"/>
        </w:rPr>
        <w:t xml:space="preserve">Derived from the ratio of manual investigation cycle time (days) to agent-assisted resolution time (minutes to hours). Defensible because the agent automates the query chain that previously required multiple analyst handoffs.</w:t>
      </w:r>
    </w:p>
    <w:p>
      <w:pPr>
        <w:pStyle w:val="ListParagraph"/>
        <w:numPr>
          <w:ilvl w:val="0"/>
          <w:numId w:val="9"/>
        </w:numPr>
        <w:spacing w:after="80"/>
      </w:pPr>
      <w:r>
        <w:rPr>
          <w:rFonts w:ascii="Arial" w:cs="Arial" w:eastAsia="Arial" w:hAnsi="Arial"/>
          <w:b/>
          <w:bCs/>
          <w:sz w:val="22"/>
          <w:szCs w:val="22"/>
        </w:rPr>
        <w:t xml:space="preserve">“Up to 70%” framing: </w:t>
      </w:r>
      <w:r>
        <w:rPr>
          <w:rFonts w:ascii="Arial" w:cs="Arial" w:eastAsia="Arial" w:hAnsi="Arial"/>
          <w:sz w:val="22"/>
          <w:szCs w:val="22"/>
        </w:rPr>
        <w:t xml:space="preserve">Derived from the reduction in data team tickets once Genie replaced static dashboards and ad-hoc SQL requests. Defensible because Genie provides self-service access to the same data that previously required a data engineer.</w:t>
      </w:r>
    </w:p>
    <w:p>
      <w:pPr>
        <w:spacing w:after="120"/>
      </w:pPr>
      <w:r>
        <w:rPr>
          <w:rFonts w:ascii="Arial" w:cs="Arial" w:eastAsia="Arial" w:hAnsi="Arial"/>
          <w:i/>
          <w:iCs/>
          <w:color w:val="555555"/>
          <w:sz w:val="22"/>
          <w:szCs w:val="22"/>
        </w:rPr>
        <w:t xml:space="preserve">Transition: “Let me give you the specifics on what the accelerator includes and what a deployment looks like.”</w:t>
      </w:r>
    </w:p>
    <w:p>
      <w:r>
        <w:br w:type="page"/>
      </w:r>
    </w:p>
    <w:p>
      <w:pPr>
        <w:pStyle w:val="Heading1"/>
        <w:spacing w:after="200" w:before="400"/>
      </w:pPr>
      <w:r>
        <w:rPr>
          <w:rFonts w:ascii="Arial" w:cs="Arial" w:eastAsia="Arial" w:hAnsi="Arial"/>
          <w:b/>
          <w:bCs/>
          <w:color w:val="1B3A5C"/>
          <w:sz w:val="32"/>
          <w:szCs w:val="32"/>
        </w:rPr>
        <w:t xml:space="preserve">Slide 9 — Accelerator Description</w:t>
      </w:r>
    </w:p>
    <w:p>
      <w:pPr>
        <w:spacing w:after="80"/>
      </w:pPr>
      <w:r>
        <w:rPr>
          <w:rFonts w:ascii="Arial" w:cs="Arial" w:eastAsia="Arial" w:hAnsi="Arial"/>
          <w:i/>
          <w:iCs/>
          <w:color w:val="888888"/>
          <w:sz w:val="18"/>
          <w:szCs w:val="18"/>
        </w:rPr>
        <w:t xml:space="preserve">Dwell: 2:00 | Persona focus: All | Transition: Description → Requirements</w:t>
      </w:r>
    </w:p>
    <w:p>
      <w:pPr>
        <w:pBdr>
          <w:left w:val="single" w:color="3D7AB5" w:sz="6" w:space="8"/>
        </w:pBdr>
        <w:spacing w:after="120"/>
        <w:ind w:left="360"/>
      </w:pPr>
      <w:r>
        <w:rPr>
          <w:rFonts w:ascii="Georgia" w:cs="Georgia" w:eastAsia="Georgia" w:hAnsi="Georgia"/>
          <w:sz w:val="22"/>
          <w:szCs w:val="22"/>
        </w:rPr>
        <w:t xml:space="preserve">Five things to know about what’s included.</w:t>
      </w:r>
    </w:p>
    <w:p>
      <w:pPr>
        <w:pBdr>
          <w:left w:val="single" w:color="3D7AB5" w:sz="6" w:space="8"/>
        </w:pBdr>
        <w:spacing w:after="120"/>
        <w:ind w:left="360"/>
      </w:pPr>
      <w:r>
        <w:rPr>
          <w:rFonts w:ascii="Georgia" w:cs="Georgia" w:eastAsia="Georgia" w:hAnsi="Georgia"/>
          <w:sz w:val="22"/>
          <w:szCs w:val="22"/>
        </w:rPr>
        <w:t xml:space="preserve">First: 19 agent tools deployed across UC function lookups, vector search for FAQ retrieval, Genie delegation for conversational analytics, and governed write-back for disputes and anomaly acknowledgment.</w:t>
      </w:r>
    </w:p>
    <w:p>
      <w:pPr>
        <w:pBdr>
          <w:left w:val="single" w:color="3D7AB5" w:sz="6" w:space="8"/>
        </w:pBdr>
        <w:spacing w:after="120"/>
        <w:ind w:left="360"/>
      </w:pPr>
      <w:r>
        <w:rPr>
          <w:rFonts w:ascii="Georgia" w:cs="Georgia" w:eastAsia="Georgia" w:hAnsi="Georgia"/>
          <w:sz w:val="22"/>
          <w:szCs w:val="22"/>
        </w:rPr>
        <w:t xml:space="preserve">Second: two deployment tiers. The LangGraph tier is the full-capability production path — deterministic ReAct orchestration, identity propagation, persona-based tool filtering, and token-gated write-back. The AgentBricks tier is a managed read-only surface combining FAQ Knowledge Assistants with Genie-powered fleet analytics — great for analyst self-service and demos, but it doesn’t do write-back, individual customer lookups, or identity propagation.</w:t>
      </w:r>
    </w:p>
    <w:p>
      <w:pPr>
        <w:pBdr>
          <w:left w:val="single" w:color="3D7AB5" w:sz="6" w:space="8"/>
        </w:pBdr>
        <w:spacing w:after="120"/>
        <w:ind w:left="360"/>
      </w:pPr>
      <w:r>
        <w:rPr>
          <w:rFonts w:ascii="Georgia" w:cs="Georgia" w:eastAsia="Georgia" w:hAnsi="Georgia"/>
          <w:sz w:val="22"/>
          <w:szCs w:val="22"/>
        </w:rPr>
        <w:t xml:space="preserve">Third: schema-level PII isolation. The agent’s service principal has its access revoked on the internal schema. Sensitive fields are only accessible through a separate PII function that the agent cannot call. This is a hard boundary enforced by Unity Catalog, not a prompt instruction.</w:t>
      </w:r>
    </w:p>
    <w:p>
      <w:pPr>
        <w:pBdr>
          <w:left w:val="single" w:color="3D7AB5" w:sz="6" w:space="8"/>
        </w:pBdr>
        <w:spacing w:after="120"/>
        <w:ind w:left="360"/>
      </w:pPr>
      <w:r>
        <w:rPr>
          <w:rFonts w:ascii="Georgia" w:cs="Georgia" w:eastAsia="Georgia" w:hAnsi="Georgia"/>
          <w:sz w:val="22"/>
          <w:szCs w:val="22"/>
        </w:rPr>
        <w:t xml:space="preserve">Fourth: HMAC-signed identity propagation via SCIM. The user’s identity flows from the Databricks App through Model Serving to the agent. Every write records who initiated it and who executed it. UC tags drive governance policies — if a table requires identity context, the agent blocks the write when identity is missing.</w:t>
      </w:r>
    </w:p>
    <w:p>
      <w:pPr>
        <w:pBdr>
          <w:left w:val="single" w:color="3D7AB5" w:sz="6" w:space="8"/>
        </w:pBdr>
        <w:spacing w:after="120"/>
        <w:ind w:left="360"/>
      </w:pPr>
      <w:r>
        <w:rPr>
          <w:rFonts w:ascii="Georgia" w:cs="Georgia" w:eastAsia="Georgia" w:hAnsi="Georgia"/>
          <w:sz w:val="22"/>
          <w:szCs w:val="22"/>
        </w:rPr>
        <w:t xml:space="preserve">Fifth: cross-industry domain adapters. Swap a YAML config file and the agent speaks your industry’s language. Telco subscribers become SaaS customers become utility accounts. Same pipeline, same governance, different vocabulary.</w:t>
      </w:r>
    </w:p>
    <w:p>
      <w:pPr>
        <w:pStyle w:val="Heading3"/>
        <w:spacing w:after="120" w:before="240"/>
      </w:pPr>
      <w:r>
        <w:rPr>
          <w:rFonts w:ascii="Arial" w:cs="Arial" w:eastAsia="Arial" w:hAnsi="Arial"/>
          <w:b/>
          <w:bCs/>
          <w:color w:val="3D7AB5"/>
          <w:sz w:val="22"/>
          <w:szCs w:val="22"/>
        </w:rPr>
        <w:t xml:space="preserve">Deployment timeline</w:t>
      </w:r>
    </w:p>
    <w:p>
      <w:pPr>
        <w:pStyle w:val="ListParagraph"/>
        <w:numPr>
          <w:ilvl w:val="0"/>
          <w:numId w:val="10"/>
        </w:numPr>
        <w:spacing w:after="80"/>
      </w:pPr>
      <w:r>
        <w:rPr>
          <w:rFonts w:ascii="Arial" w:cs="Arial" w:eastAsia="Arial" w:hAnsi="Arial"/>
          <w:b/>
          <w:bCs/>
          <w:sz w:val="22"/>
          <w:szCs w:val="22"/>
        </w:rPr>
        <w:t xml:space="preserve">Core deployment: </w:t>
      </w:r>
      <w:r>
        <w:rPr>
          <w:rFonts w:ascii="Arial" w:cs="Arial" w:eastAsia="Arial" w:hAnsi="Arial"/>
          <w:sz w:val="22"/>
          <w:szCs w:val="22"/>
        </w:rPr>
        <w:t xml:space="preserve">2–4 weeks if data is already in Unity Catalog.</w:t>
      </w:r>
    </w:p>
    <w:p>
      <w:pPr>
        <w:pStyle w:val="ListParagraph"/>
        <w:numPr>
          <w:ilvl w:val="0"/>
          <w:numId w:val="10"/>
        </w:numPr>
        <w:spacing w:after="80"/>
      </w:pPr>
      <w:r>
        <w:rPr>
          <w:rFonts w:ascii="Arial" w:cs="Arial" w:eastAsia="Arial" w:hAnsi="Arial"/>
          <w:b/>
          <w:bCs/>
          <w:sz w:val="22"/>
          <w:szCs w:val="22"/>
        </w:rPr>
        <w:t xml:space="preserve">With ERP federation and full observability: </w:t>
      </w:r>
      <w:r>
        <w:rPr>
          <w:rFonts w:ascii="Arial" w:cs="Arial" w:eastAsia="Arial" w:hAnsi="Arial"/>
          <w:sz w:val="22"/>
          <w:szCs w:val="22"/>
        </w:rPr>
        <w:t xml:space="preserve">Add 2–3 weeks.</w:t>
      </w:r>
    </w:p>
    <w:p>
      <w:pPr>
        <w:pStyle w:val="ListParagraph"/>
        <w:numPr>
          <w:ilvl w:val="0"/>
          <w:numId w:val="10"/>
        </w:numPr>
        <w:spacing w:after="80"/>
      </w:pPr>
      <w:r>
        <w:rPr>
          <w:rFonts w:ascii="Arial" w:cs="Arial" w:eastAsia="Arial" w:hAnsi="Arial"/>
          <w:b/>
          <w:bCs/>
          <w:sz w:val="22"/>
          <w:szCs w:val="22"/>
        </w:rPr>
        <w:t xml:space="preserve">PepsiCo-scale with migration co-delivery: </w:t>
      </w:r>
      <w:r>
        <w:rPr>
          <w:rFonts w:ascii="Arial" w:cs="Arial" w:eastAsia="Arial" w:hAnsi="Arial"/>
          <w:sz w:val="22"/>
          <w:szCs w:val="22"/>
        </w:rPr>
        <w:t xml:space="preserve">3–4 months.</w:t>
      </w:r>
    </w:p>
    <w:p>
      <w:pPr>
        <w:spacing w:after="120"/>
      </w:pPr>
      <w:r>
        <w:rPr>
          <w:rFonts w:ascii="Arial" w:cs="Arial" w:eastAsia="Arial" w:hAnsi="Arial"/>
          <w:i/>
          <w:iCs/>
          <w:color w:val="555555"/>
          <w:sz w:val="22"/>
          <w:szCs w:val="22"/>
        </w:rPr>
        <w:t xml:space="preserve">Transition: “Here’s what your environment needs to run this.”</w:t>
      </w:r>
    </w:p>
    <w:p>
      <w:r>
        <w:br w:type="page"/>
      </w:r>
    </w:p>
    <w:p>
      <w:pPr>
        <w:pStyle w:val="Heading1"/>
        <w:spacing w:after="200" w:before="400"/>
      </w:pPr>
      <w:r>
        <w:rPr>
          <w:rFonts w:ascii="Arial" w:cs="Arial" w:eastAsia="Arial" w:hAnsi="Arial"/>
          <w:b/>
          <w:bCs/>
          <w:color w:val="1B3A5C"/>
          <w:sz w:val="32"/>
          <w:szCs w:val="32"/>
        </w:rPr>
        <w:t xml:space="preserve">Slide 10 — Requirements</w:t>
      </w:r>
    </w:p>
    <w:p>
      <w:pPr>
        <w:spacing w:after="80"/>
      </w:pPr>
      <w:r>
        <w:rPr>
          <w:rFonts w:ascii="Arial" w:cs="Arial" w:eastAsia="Arial" w:hAnsi="Arial"/>
          <w:i/>
          <w:iCs/>
          <w:color w:val="888888"/>
          <w:sz w:val="18"/>
          <w:szCs w:val="18"/>
        </w:rPr>
        <w:t xml:space="preserve">Dwell: 2:00 | Persona focus: CTO, Head of Data Engineering | Transition: Requirements → Partnership</w:t>
      </w:r>
    </w:p>
    <w:p>
      <w:pPr>
        <w:pBdr>
          <w:left w:val="single" w:color="3D7AB5" w:sz="6" w:space="8"/>
        </w:pBdr>
        <w:spacing w:after="120"/>
        <w:ind w:left="360"/>
      </w:pPr>
      <w:r>
        <w:rPr>
          <w:rFonts w:ascii="Georgia" w:cs="Georgia" w:eastAsia="Georgia" w:hAnsi="Georgia"/>
          <w:sz w:val="22"/>
          <w:szCs w:val="22"/>
        </w:rPr>
        <w:t xml:space="preserve">Four requirements, all Databricks-native.</w:t>
      </w:r>
    </w:p>
    <w:p>
      <w:pPr>
        <w:pBdr>
          <w:left w:val="single" w:color="3D7AB5" w:sz="6" w:space="8"/>
        </w:pBdr>
        <w:spacing w:after="120"/>
        <w:ind w:left="360"/>
      </w:pPr>
      <w:r>
        <w:rPr>
          <w:rFonts w:ascii="Georgia" w:cs="Georgia" w:eastAsia="Georgia" w:hAnsi="Georgia"/>
          <w:sz w:val="22"/>
          <w:szCs w:val="22"/>
        </w:rPr>
        <w:t xml:space="preserve">First: Unity Catalog. Billing, warehouse telemetry, and operational datasets must reside in UC. This is how governance works — every table, function, and agent tool is governed through UC’s access controls, lineage, and audit trail. Non-negotiable.</w:t>
      </w:r>
    </w:p>
    <w:p>
      <w:pPr>
        <w:pBdr>
          <w:left w:val="single" w:color="3D7AB5" w:sz="6" w:space="8"/>
        </w:pBdr>
        <w:spacing w:after="120"/>
        <w:ind w:left="360"/>
      </w:pPr>
      <w:r>
        <w:rPr>
          <w:rFonts w:ascii="Georgia" w:cs="Georgia" w:eastAsia="Georgia" w:hAnsi="Georgia"/>
          <w:sz w:val="22"/>
          <w:szCs w:val="22"/>
        </w:rPr>
        <w:t xml:space="preserve">Second: Lakehouse Federation or sync. External data sources — ERP, procurement, operational systems — need to be accessible. Lakebase provides zero-ETL federation. If the source system doesn’t support federation, we sync to UC tables. Either way, the agent queries through UC.</w:t>
      </w:r>
    </w:p>
    <w:p>
      <w:pPr>
        <w:pBdr>
          <w:left w:val="single" w:color="3D7AB5" w:sz="6" w:space="8"/>
        </w:pBdr>
        <w:spacing w:after="120"/>
        <w:ind w:left="360"/>
      </w:pPr>
      <w:r>
        <w:rPr>
          <w:rFonts w:ascii="Georgia" w:cs="Georgia" w:eastAsia="Georgia" w:hAnsi="Georgia"/>
          <w:sz w:val="22"/>
          <w:szCs w:val="22"/>
        </w:rPr>
        <w:t xml:space="preserve">Third: Serverless Databricks environment. The LangGraph agent runs on a Model Serving endpoint as a service principal. Genie runs on Databricks SQL Serverless. Billing workloads are bursty — month-end close, quarterly reporting — so you need auto-scaling, not fixed clusters. Persona-based access requires SCIM group mappings.</w:t>
      </w:r>
    </w:p>
    <w:p>
      <w:pPr>
        <w:pBdr>
          <w:left w:val="single" w:color="3D7AB5" w:sz="6" w:space="8"/>
        </w:pBdr>
        <w:spacing w:after="120"/>
        <w:ind w:left="360"/>
      </w:pPr>
      <w:r>
        <w:rPr>
          <w:rFonts w:ascii="Georgia" w:cs="Georgia" w:eastAsia="Georgia" w:hAnsi="Georgia"/>
          <w:sz w:val="22"/>
          <w:szCs w:val="22"/>
        </w:rPr>
        <w:t xml:space="preserve">Fourth: identity propagation infrastructure. A Databricks Secret Scope for HMAC signing keys. SCIM API access for user identity resolution. And either Lakebase or Statement Execution API access for write-back operations. If you’re just starting with read-only analytics, the identity and write-back requirements can come later — the agent degrades gracefully.</w:t>
      </w:r>
    </w:p>
    <w:p>
      <w:pPr>
        <w:pStyle w:val="Heading3"/>
        <w:spacing w:after="120" w:before="240"/>
      </w:pPr>
      <w:r>
        <w:rPr>
          <w:rFonts w:ascii="Arial" w:cs="Arial" w:eastAsia="Arial" w:hAnsi="Arial"/>
          <w:b/>
          <w:bCs/>
          <w:color w:val="3D7AB5"/>
          <w:sz w:val="22"/>
          <w:szCs w:val="22"/>
        </w:rPr>
        <w:t xml:space="preserve">SKU checklist</w:t>
      </w:r>
    </w:p>
    <w:p>
      <w:pPr>
        <w:pStyle w:val="ListParagraph"/>
        <w:numPr>
          <w:ilvl w:val="0"/>
          <w:numId w:val="11"/>
        </w:numPr>
        <w:spacing w:after="80"/>
      </w:pPr>
      <w:r>
        <w:rPr>
          <w:rFonts w:ascii="Arial" w:cs="Arial" w:eastAsia="Arial" w:hAnsi="Arial"/>
          <w:b/>
          <w:bCs/>
          <w:sz w:val="22"/>
          <w:szCs w:val="22"/>
        </w:rPr>
        <w:t xml:space="preserve">Required: </w:t>
      </w:r>
      <w:r>
        <w:rPr>
          <w:rFonts w:ascii="Arial" w:cs="Arial" w:eastAsia="Arial" w:hAnsi="Arial"/>
          <w:sz w:val="22"/>
          <w:szCs w:val="22"/>
        </w:rPr>
        <w:t xml:space="preserve">Unity Catalog (all tiers), Serverless SQL or DBSQL Pro, Foundation Model API, Vector Search, Model Serving</w:t>
      </w:r>
    </w:p>
    <w:p>
      <w:pPr>
        <w:pStyle w:val="ListParagraph"/>
        <w:numPr>
          <w:ilvl w:val="0"/>
          <w:numId w:val="11"/>
        </w:numPr>
        <w:spacing w:after="80"/>
      </w:pPr>
      <w:r>
        <w:rPr>
          <w:rFonts w:ascii="Arial" w:cs="Arial" w:eastAsia="Arial" w:hAnsi="Arial"/>
          <w:b/>
          <w:bCs/>
          <w:sz w:val="22"/>
          <w:szCs w:val="22"/>
        </w:rPr>
        <w:t xml:space="preserve">Recommended: </w:t>
      </w:r>
      <w:r>
        <w:rPr>
          <w:rFonts w:ascii="Arial" w:cs="Arial" w:eastAsia="Arial" w:hAnsi="Arial"/>
          <w:sz w:val="22"/>
          <w:szCs w:val="22"/>
        </w:rPr>
        <w:t xml:space="preserve">DLT for streaming pipelines, Premium tier for Genie and system table access</w:t>
      </w:r>
    </w:p>
    <w:p>
      <w:pPr>
        <w:pStyle w:val="ListParagraph"/>
        <w:numPr>
          <w:ilvl w:val="0"/>
          <w:numId w:val="11"/>
        </w:numPr>
        <w:spacing w:after="80"/>
      </w:pPr>
      <w:r>
        <w:rPr>
          <w:rFonts w:ascii="Arial" w:cs="Arial" w:eastAsia="Arial" w:hAnsi="Arial"/>
          <w:b/>
          <w:bCs/>
          <w:sz w:val="22"/>
          <w:szCs w:val="22"/>
        </w:rPr>
        <w:t xml:space="preserve">Optional: </w:t>
      </w:r>
      <w:r>
        <w:rPr>
          <w:rFonts w:ascii="Arial" w:cs="Arial" w:eastAsia="Arial" w:hAnsi="Arial"/>
          <w:sz w:val="22"/>
          <w:szCs w:val="22"/>
        </w:rPr>
        <w:t xml:space="preserve">Lakebase for transactional write-back, Secret Scope for identity propagation</w:t>
      </w:r>
    </w:p>
    <w:p>
      <w:pPr>
        <w:spacing w:after="120"/>
      </w:pPr>
      <w:r>
        <w:rPr>
          <w:rFonts w:ascii="Arial" w:cs="Arial" w:eastAsia="Arial" w:hAnsi="Arial"/>
          <w:i/>
          <w:iCs/>
          <w:color w:val="555555"/>
          <w:sz w:val="22"/>
          <w:szCs w:val="22"/>
        </w:rPr>
        <w:t xml:space="preserve">Transition: “That’s the accelerator. Let’s talk about how we work together.”</w:t>
      </w:r>
    </w:p>
    <w:p>
      <w:r>
        <w:br w:type="page"/>
      </w:r>
    </w:p>
    <w:p>
      <w:pPr>
        <w:pStyle w:val="Heading1"/>
        <w:spacing w:after="200" w:before="400"/>
      </w:pPr>
      <w:r>
        <w:rPr>
          <w:rFonts w:ascii="Arial" w:cs="Arial" w:eastAsia="Arial" w:hAnsi="Arial"/>
          <w:b/>
          <w:bCs/>
          <w:color w:val="1B3A5C"/>
          <w:sz w:val="32"/>
          <w:szCs w:val="32"/>
        </w:rPr>
        <w:t xml:space="preserve">Slides 11–14 — Partner / Target Accounts / Contact / Close</w:t>
      </w:r>
    </w:p>
    <w:p>
      <w:pPr>
        <w:spacing w:after="80"/>
      </w:pPr>
      <w:r>
        <w:rPr>
          <w:rFonts w:ascii="Arial" w:cs="Arial" w:eastAsia="Arial" w:hAnsi="Arial"/>
          <w:i/>
          <w:iCs/>
          <w:color w:val="888888"/>
          <w:sz w:val="18"/>
          <w:szCs w:val="18"/>
        </w:rPr>
        <w:t xml:space="preserve">Dwell: 2:00 total | Persona focus: All | Transition: Close → Q&amp;A</w:t>
      </w:r>
    </w:p>
    <w:p>
      <w:pPr>
        <w:pBdr>
          <w:left w:val="single" w:color="3D7AB5" w:sz="6" w:space="8"/>
        </w:pBdr>
        <w:spacing w:after="120"/>
        <w:ind w:left="360"/>
      </w:pPr>
      <w:r>
        <w:rPr>
          <w:rFonts w:ascii="Georgia" w:cs="Georgia" w:eastAsia="Georgia" w:hAnsi="Georgia"/>
          <w:sz w:val="22"/>
          <w:szCs w:val="22"/>
        </w:rPr>
        <w:t xml:space="preserve">This is a partnership offering between Entrada and Databricks. Carley Donovan is our business sponsor and COO. I’m the technical sponsor — Alex Barreto, Practice Lead for Data and AI. Natalia Isaevich is our alliance leader and Chief Strategy Officer.</w:t>
      </w:r>
    </w:p>
    <w:p>
      <w:pPr>
        <w:pBdr>
          <w:left w:val="single" w:color="3D7AB5" w:sz="6" w:space="8"/>
        </w:pBdr>
        <w:spacing w:after="120"/>
        <w:ind w:left="360"/>
      </w:pPr>
      <w:r>
        <w:rPr>
          <w:rFonts w:ascii="Georgia" w:cs="Georgia" w:eastAsia="Georgia" w:hAnsi="Georgia"/>
          <w:sz w:val="22"/>
          <w:szCs w:val="22"/>
        </w:rPr>
        <w:t xml:space="preserve">We’ve parameterized the accelerator by industry and by persona. The underlying architecture is industry-agnostic — swapping domains changes vocabulary and charge categories, not the pipeline. Core deployment is 2 to 4 weeks if your data is in Unity Catalog. We’re happy to go deeper on any layer — the agent framework, the Genie analytics, the PepsiCo deployment, the identity propagation model, or the anomaly detection pipeline. We can also run a live demo.</w:t>
      </w:r>
    </w:p>
    <w:p>
      <w:r>
        <w:br w:type="page"/>
      </w:r>
    </w:p>
    <w:p>
      <w:pPr>
        <w:pStyle w:val="Heading1"/>
        <w:spacing w:after="200" w:before="400"/>
      </w:pPr>
      <w:r>
        <w:rPr>
          <w:rFonts w:ascii="Arial" w:cs="Arial" w:eastAsia="Arial" w:hAnsi="Arial"/>
          <w:b/>
          <w:bCs/>
          <w:color w:val="1B3A5C"/>
          <w:sz w:val="32"/>
          <w:szCs w:val="32"/>
        </w:rPr>
        <w:t xml:space="preserve">Anticipated Q&amp;A</w:t>
      </w:r>
    </w:p>
    <w:p>
      <w:pPr>
        <w:spacing w:after="80"/>
      </w:pPr>
      <w:r>
        <w:rPr>
          <w:rFonts w:ascii="Arial" w:cs="Arial" w:eastAsia="Arial" w:hAnsi="Arial"/>
          <w:i/>
          <w:iCs/>
          <w:color w:val="888888"/>
          <w:sz w:val="18"/>
          <w:szCs w:val="18"/>
        </w:rPr>
        <w:t xml:space="preserve">Reference table for the Q&amp;A session. Organized by persona.</w:t>
      </w:r>
    </w:p>
    <w:p>
      <w:pPr>
        <w:pStyle w:val="Heading2"/>
        <w:spacing w:after="160" w:before="300"/>
      </w:pPr>
      <w:r>
        <w:rPr>
          <w:rFonts w:ascii="Arial" w:cs="Arial" w:eastAsia="Arial" w:hAnsi="Arial"/>
          <w:b/>
          <w:bCs/>
          <w:color w:val="2E5984"/>
          <w:sz w:val="26"/>
          <w:szCs w:val="26"/>
        </w:rPr>
        <w:t xml:space="preserve">Business / Finance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Question</w:t>
            </w:r>
          </w:p>
        </w:tc>
        <w:tc>
          <w:tcPr>
            <w:tcW w:type="dxa" w:w="62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Answer</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20"/>
                <w:szCs w:val="20"/>
              </w:rPr>
              <w:t xml:space="preserve">How is this different from a RAG chatbot?</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Three differences. (1) The agent executes structured SQL against governed UC functions — it doesn’t retrieve documents and hallucinate over them. (2) It can act — acknowledge anomalies, create disputes, escalate — through human-in-the-loop confirmation with dual-identity audit. (3) It monitors its own platform health. A chatbot answers questions; this system detects, investigates, and acts.</w:t>
            </w:r>
          </w:p>
        </w:tc>
      </w:tr>
      <w:tr>
        <w:tc>
          <w:tcPr>
            <w:tcW w:type="dxa" w:w="31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bCs/>
                <w:sz w:val="20"/>
                <w:szCs w:val="20"/>
              </w:rPr>
              <w:t xml:space="preserve">What ROI can we expect?</w:t>
            </w:r>
          </w:p>
        </w:tc>
        <w:tc>
          <w:tcPr>
            <w:tcW w:type="dxa" w:w="62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Two defensible metrics from PepsiCo: up to 90% faster anomaly resolution (agent-assisted vs. manual investigation cycles) and up to 70% reduction in ad-hoc finance reporting requests (Genie self-service replaces data team tickets). FTE efficiency gain is the primary ROI lever — analysts shift from manual investigation to strategic analysis.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20"/>
                <w:szCs w:val="20"/>
              </w:rPr>
              <w:t xml:space="preserve">Can this handle our billing volume?</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The agent runs on Databricks Serverless — auto-scaling compute. UC functions have LIMIT clauses and lookback caps, so even large datasets are bounded at query time. PepsiCo’s deployment handles hundreds of warehouses and global billing volumes. The architecture is designed for billing-cycle burst, not steady-state.</w:t>
            </w:r>
          </w:p>
        </w:tc>
      </w:tr>
    </w:tbl>
    <w:p>
      <w:pPr>
        <w:pStyle w:val="Heading2"/>
        <w:spacing w:after="160" w:before="300"/>
      </w:pPr>
      <w:r>
        <w:rPr>
          <w:rFonts w:ascii="Arial" w:cs="Arial" w:eastAsia="Arial" w:hAnsi="Arial"/>
          <w:b/>
          <w:bCs/>
          <w:color w:val="2E5984"/>
          <w:sz w:val="26"/>
          <w:szCs w:val="26"/>
        </w:rPr>
        <w:t xml:space="preserve">Technical / Architecture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Question</w:t>
            </w:r>
          </w:p>
        </w:tc>
        <w:tc>
          <w:tcPr>
            <w:tcW w:type="dxa" w:w="62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Answer</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20"/>
                <w:szCs w:val="20"/>
              </w:rPr>
              <w:t xml:space="preserve">What LLM does it use?</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Default is Claude 3.7 Sonnet via Databricks Model Serving (external model endpoint). Model-agnostic — swap in DBRX, Llama, or anything available through Foundation Model API. Tool-calling is standardized through LangGraph’s UCFunctionToolkit, so the agent’s tool schema is decoupled from the LLM choice.</w:t>
            </w:r>
          </w:p>
        </w:tc>
      </w:tr>
      <w:tr>
        <w:tc>
          <w:tcPr>
            <w:tcW w:type="dxa" w:w="31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bCs/>
                <w:sz w:val="20"/>
                <w:szCs w:val="20"/>
              </w:rPr>
              <w:t xml:space="preserve">How does identity propagation work?</w:t>
            </w:r>
          </w:p>
        </w:tc>
        <w:tc>
          <w:tcPr>
            <w:tcW w:type="dxa" w:w="62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Pattern C (Hybrid). Databricks App extracts x-forwarded-access-token from HTTP header. Calls SCIM /Me for user email + groups. Builds a RequestContext dataclass, signs it with HMAC-SHA256 using a key from Secret Scope. Sends it via custom_inputs to Model Serving. agent.py validates the signature, checks expiry, stores in contextvars.ContextVar (not threading.local — safe for generator streaming). Write tools require both valid token AND valid RequestContext.</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20"/>
                <w:szCs w:val="20"/>
              </w:rPr>
              <w:t xml:space="preserve">What about PII / data security?</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Four layers. (1) Schema-level PII isolation: lookup_customer returns only non-PII fields; PII function in _internal schema with REVOKE USE SCHEMA. (2) Genie Space scoped to PII-safe views — cannot query customer names/emails. (3) UC tag-driven governance: gov.identity.mode, gov.pii.level tags on tables/schemas. (4) Persona-based tool filtering: each persona has allowed/blocked tool lists, enforced at graph-build time.</w:t>
            </w:r>
          </w:p>
        </w:tc>
      </w:tr>
      <w:tr>
        <w:tc>
          <w:tcPr>
            <w:tcW w:type="dxa" w:w="31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bCs/>
                <w:sz w:val="20"/>
                <w:szCs w:val="20"/>
              </w:rPr>
              <w:t xml:space="preserve">What prevents the agent from running unbounded queries?</w:t>
            </w:r>
          </w:p>
        </w:tc>
        <w:tc>
          <w:tcPr>
            <w:tcW w:type="dxa" w:w="62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All 14 UC functions have explicit LIMIT clauses (50–200 rows depending on function). Lookback parameters capped with LEAST() — e.g., lookback_months can’t exceed 36 even if the user requests 100. LangGraph recursion_limit=30 caps tool round-trips at 15. SQL injection prevention via _sanitize_sql_value() and _validate_identifier().</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20"/>
                <w:szCs w:val="20"/>
              </w:rPr>
              <w:t xml:space="preserve">Can this work outside telco?</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Yes. Domain YAML configs for telco (subscriber/plan/usage), SaaS (customer/subscription/seat), and utility (account/rate plan/meter). Swapping domains changes agent vocabulary and charge category labels. Architecture is industry-agnostic — canonical views (v_billing_summary, v_customer_profile, v_service_catalog) abstract the domain specifics.</w:t>
            </w:r>
          </w:p>
        </w:tc>
      </w:tr>
      <w:tr>
        <w:tc>
          <w:tcPr>
            <w:tcW w:type="dxa" w:w="31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bCs/>
                <w:sz w:val="20"/>
                <w:szCs w:val="20"/>
              </w:rPr>
              <w:t xml:space="preserve">What Databricks SKUs are required?</w:t>
            </w:r>
          </w:p>
        </w:tc>
        <w:tc>
          <w:tcPr>
            <w:tcW w:type="dxa" w:w="62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Unity Catalog (all tiers), Serverless SQL or DBSQL Pro, Foundation Model API, Vector Search, Model Serving, DLT for streaming. Genie and system table access require Premium tier. Lakebase and Secret Scope for full identity propagation and write-back.</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20"/>
                <w:szCs w:val="20"/>
              </w:rPr>
              <w:t xml:space="preserve">LangGraph vs Agent Bricks — which do I need?</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If you need write-back, individual customer lookups, identity propagation, or persona filtering — LangGraph (notebook 03). Agent Bricks (notebook 04) is a managed read-only tier for FAQ retrieval and fleet-wide Genie analytics. They are alternative deployment paths, not sequential steps. Most production deployments use LangGraph.</w:t>
            </w:r>
          </w:p>
        </w:tc>
      </w:tr>
    </w:tbl>
    <w:p>
      <w:pPr>
        <w:pStyle w:val="Heading2"/>
        <w:spacing w:after="160" w:before="300"/>
      </w:pPr>
      <w:r>
        <w:rPr>
          <w:rFonts w:ascii="Arial" w:cs="Arial" w:eastAsia="Arial" w:hAnsi="Arial"/>
          <w:b/>
          <w:bCs/>
          <w:color w:val="2E5984"/>
          <w:sz w:val="26"/>
          <w:szCs w:val="26"/>
        </w:rPr>
        <w:t xml:space="preserve">Competitive / Positioning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Question</w:t>
            </w:r>
          </w:p>
        </w:tc>
        <w:tc>
          <w:tcPr>
            <w:tcW w:type="dxa" w:w="62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Answer</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bCs/>
                <w:sz w:val="20"/>
                <w:szCs w:val="20"/>
              </w:rPr>
              <w:t xml:space="preserve">Why not just build this ourselves?</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You can. The question is timeline and proven patterns. The accelerator encodes 10 months of production lessons — 12 postmortem entries, 19 architecture decision records, identity propagation patterns, PII isolation, SQL injection prevention. We’ve hit the failure modes so you don’t have to. Core deployment is 2–4 weeks vs. months of internal development.</w:t>
            </w:r>
          </w:p>
        </w:tc>
      </w:tr>
      <w:tr>
        <w:tc>
          <w:tcPr>
            <w:tcW w:type="dxa" w:w="31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bCs/>
                <w:sz w:val="20"/>
                <w:szCs w:val="20"/>
              </w:rPr>
              <w:t xml:space="preserve">What about Palantir / Salesforce / ServiceNow?</w:t>
            </w:r>
          </w:p>
        </w:tc>
        <w:tc>
          <w:tcPr>
            <w:tcW w:type="dxa" w:w="62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Those are application-layer tools. This is a platform-layer accelerator. Your data stays in the Lakehouse. Your governance stays in Unity Catalog. Your compute stays in Databricks. No data copies to external SaaS platforms, no governance gaps at the boundary, no vendor lock-in on the AI layer. The LLM is swappable. The agent framework is open source (LangGraph).</w:t>
            </w:r>
          </w:p>
        </w:tc>
      </w:tr>
    </w:tbl>
    <w:p>
      <w:pPr>
        <w:spacing w:before="300"/>
      </w:pPr>
    </w:p>
    <w:p>
      <w:pPr>
        <w:pBdr>
          <w:bottom w:val="single" w:color="1B3A5C" w:sz="6" w:space="1"/>
        </w:pBdr>
      </w:pPr>
    </w:p>
    <w:p>
      <w:pPr>
        <w:spacing w:before="200"/>
      </w:pPr>
      <w:r>
        <w:rPr>
          <w:rFonts w:ascii="Arial" w:cs="Arial" w:eastAsia="Arial" w:hAnsi="Arial"/>
          <w:i/>
          <w:iCs/>
          <w:color w:val="999999"/>
          <w:sz w:val="18"/>
          <w:szCs w:val="18"/>
        </w:rPr>
        <w:t xml:space="preserve">Script version: April 12, 2026. Aligned with Customer_Billing_Accelerator_April_2026.pptx. </w:t>
      </w:r>
      <w:r>
        <w:rPr>
          <w:rFonts w:ascii="Arial" w:cs="Arial" w:eastAsia="Arial" w:hAnsi="Arial"/>
          <w:i/>
          <w:iCs/>
          <w:color w:val="999999"/>
          <w:sz w:val="18"/>
          <w:szCs w:val="18"/>
        </w:rPr>
        <w:t xml:space="preserve">Codebase reference: customer-billing-accelerator-latest (groot).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D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2026-04-12T22:19:38.638Z</dcterms:created>
  <dcterms:modified xsi:type="dcterms:W3CDTF">2026-04-12T22:19:38.638Z</dcterms:modified>
</cp:coreProperties>
</file>

<file path=docProps/custom.xml><?xml version="1.0" encoding="utf-8"?>
<Properties xmlns="http://schemas.openxmlformats.org/officeDocument/2006/custom-properties" xmlns:vt="http://schemas.openxmlformats.org/officeDocument/2006/docPropsVTypes"/>
</file>