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Challenges: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challenge that I faced was implementing the function that parses the distance for vertical line and horizontal line plot commands. I had to figure out how to handle errors as well as how to actually parse the digit one by one. I also had a bit of trouble listing all the conditions for whether a line can be plotted.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of performCommands function: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repeatedly while not at the end of the command string: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get current command character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command character is for horizontal line plot or vertical line plot,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get distance from parseDistance function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error if command is invalid and track error if line can’t be drawn entirely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plot line and adjust current location in grid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command character is for background or foreground mode,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raise error if command is invalid or if character to plot is not specified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adjust mode accordingly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command character is for clearing grid, clear grid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otherwise, raise error because command character is invalid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command string is syntactically correct but line can’t be drawn, return plot command error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that function successfully executed all commands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of parseDistance function: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raise error if at the end of command string or if the current character is not a digit/’-’ symbol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for negative sign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parse first digit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parse second digit, if present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distance composed of sign if negative and digit(s)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of plotLine function: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raise error if the parameters are invalid and if line can’t be drawn entirely in grid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how much to subtract/add, if at all, to current column and row for loop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point on the line: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in foreground mode or in background mode with current grid point being empty,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plot point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find next point based on subtracting/adding to current column and row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that function plotted entire line in grid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Exit program (“”)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Draw a vertical line (“v14”)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Clear and reset grid after drawing (“f@v14”    “c”    “h10”)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Draw a horizontal line with negative distances (“h15v8h-12”)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Draw in background mode (“v10h6f h4b@h-8”)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Draw in foreground mode (“v10h6f h3f@h-6”)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Plot a single point (“v0”)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Plot a single point using double zeroes as distance (“v00”)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Plot a single point using negative zero as distance (“v-0”)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Mixed-case commands (“v10F#h4”)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Multiple command strings (“v14” “f@h4”)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Multiple command strings (“h12V3H-1B@v-3” “v2b h12fHh1fih0”)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Invalid ‘f’ command syntax (“h14f”)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Invalid plot distance -- too many digits (“h188f@”)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Invalid plot distance -- invalid character (“h$1f@”)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Invalid command syntax (“23h12”)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Invalid plot character (“fé”)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 cannot be plotted entirely to the right (“h50”)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 cannot be plotted entirely to the left (“h-50”)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Line cannot be plotted entirely upwards (“v20”)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 cannot be plotted entirely downwards (“v-20”)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Plot command error before syntax error (“v86f”)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Multiple plot command errors (“H28V10H5V86”)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