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работе с чистящими и дезинфицирующими средствами</w:t>
      </w:r>
    </w:p>
    <w:p>
      <w:pPr>
        <w:jc w:val="center"/>
      </w:pPr>
      <w:r>
        <w:rPr>
          <w:b/>
          <w:sz w:val="22"/>
        </w:rPr>
        <w:t>ИОТ-КЛИ-02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При работе с чистящими и дезинфицирующими средствами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Химические вещества (щелочи, кислоты, хлор)</w:t>
      </w:r>
    </w:p>
    <w:p>
      <w:pPr>
        <w:pStyle w:val="ListBullet"/>
      </w:pPr>
      <w:r>
        <w:t>Вдыхание паров</w:t>
      </w:r>
    </w:p>
    <w:p>
      <w:pPr>
        <w:pStyle w:val="ListBullet"/>
      </w:pPr>
      <w:r>
        <w:t>Попадание на кожу и слизистые</w:t>
      </w:r>
    </w:p>
    <w:p>
      <w:pPr>
        <w:pStyle w:val="ListBullet"/>
      </w:pPr>
      <w:r>
        <w:t>Ожоги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Защитные перчатки (нитриловые или латексные)</w:t>
      </w:r>
    </w:p>
    <w:p>
      <w:pPr>
        <w:pStyle w:val="ListBullet"/>
      </w:pPr>
      <w:r>
        <w:t>Фартук и халат</w:t>
      </w:r>
    </w:p>
    <w:p>
      <w:pPr>
        <w:pStyle w:val="ListBullet"/>
      </w:pPr>
      <w:r>
        <w:t>Очки или маска для лица</w:t>
      </w:r>
    </w:p>
    <w:p>
      <w:pPr>
        <w:pStyle w:val="ListBullet"/>
      </w:pPr>
      <w:r>
        <w:t>Респиратор (при работе с аэрозолями)</w:t>
      </w:r>
    </w:p>
    <w:p>
      <w:pPr>
        <w:pStyle w:val="ListBullet"/>
      </w:pPr>
      <w:r>
        <w:t>Обувь с нескользящей подошвой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Обучение по применению СИЗ</w:t>
      </w:r>
    </w:p>
    <w:p>
      <w:pPr>
        <w:pStyle w:val="ListBullet"/>
      </w:pPr>
      <w:r>
        <w:t>Обучение первой помощи</w:t>
      </w:r>
    </w:p>
    <w:p>
      <w:pPr>
        <w:pStyle w:val="ListBullet"/>
      </w:pPr>
      <w:r>
        <w:t>Знание правил безопасности при работе с химией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