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ИОТ-СПС-08 — Инструкция по охране труда для ведущего инженера садово-паркового хозяйства</w:t>
      </w:r>
    </w:p>
    <w:p>
      <w:pPr>
        <w:spacing w:before="200"/>
      </w:pPr>
      <w:r>
        <w:rPr>
          <w:rFonts w:ascii="Times New Roman" w:hAnsi="Times New Roman"/>
          <w:b/>
          <w:sz w:val="26"/>
        </w:rPr>
        <w:t>1. ОБЩИЕ ТРЕБОВАНИЯ ОХРАНЫ ТРУДА</w:t>
      </w:r>
    </w:p>
    <w:p>
      <w:r>
        <w:t xml:space="preserve">[ОБЩ-01-ВИНЖ] </w:t>
      </w:r>
      <w:r>
        <w:rPr>
          <w:b w:val="0"/>
          <w:i w:val="0"/>
        </w:rPr>
        <w:t>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r>
        <w:t xml:space="preserve">[ОБЩ-02-ВИНЖ]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инженера садово-паркового хозяйства;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[ОБЩ-03-ВИНЖ] </w:t>
      </w:r>
      <w:r>
        <w:rPr>
          <w:b w:val="0"/>
          <w:i w:val="0"/>
        </w:rPr>
        <w:t>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r>
        <w:t xml:space="preserve">[ОБЩ-04-ВИНЖ] </w:t>
      </w:r>
      <w:r>
        <w:rPr>
          <w:b w:val="0"/>
          <w:i w:val="0"/>
        </w:rPr>
        <w:t>1.4. К самостоятельной работе в должности ведущего инженера садово-паркового хозяйства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[ОБЩ-10-ВИНЖ] </w:t>
      </w:r>
      <w:r>
        <w:rPr>
          <w:b w:val="0"/>
          <w:i w:val="0"/>
        </w:rPr>
        <w:t>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r>
        <w:t xml:space="preserve">[ОБЩ-11-ВИНЖ] </w:t>
      </w:r>
      <w:r>
        <w:rPr>
          <w:b w:val="0"/>
          <w:i w:val="0"/>
        </w:rPr>
        <w:t>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[ВИНЖ-B-01] </w:t>
      </w:r>
      <w:r>
        <w:rPr>
          <w:b w:val="0"/>
          <w:i w:val="0"/>
        </w:rPr>
        <w:t>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r>
        <w:t xml:space="preserve">[ВИНЖ-B-02] </w:t>
      </w:r>
      <w:r>
        <w:rPr>
          <w:b w:val="0"/>
          <w:i w:val="0"/>
        </w:rPr>
        <w:t>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r>
        <w:t xml:space="preserve">[ВИНЖ-B-03] </w:t>
      </w:r>
      <w:r>
        <w:rPr>
          <w:b w:val="0"/>
          <w:i w:val="0"/>
        </w:rPr>
        <w:t>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[ВИНЖ-C-01] </w:t>
      </w:r>
      <w:r>
        <w:rPr>
          <w:b w:val="0"/>
          <w:i w:val="0"/>
        </w:rPr>
        <w:t>2.5. Дополнительно перед началом работы ведущий инженер садово-паркового хозяйства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r>
        <w:rPr>
          <w:b w:val="0"/>
          <w:i w:val="0"/>
        </w:rPr>
        <w:t>2.5.6. Проверить наличие и комплектность аптечки первой помощи, первичных средств пожаротушения.</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r>
        <w:rPr>
          <w:b w:val="0"/>
          <w:i w:val="0"/>
        </w:rPr>
        <w:t>2.5.8. Проверить наличие и исправность средств связи (рация, телефон).</w:t>
      </w:r>
    </w:p>
    <w:p>
      <w:r>
        <w:rPr>
          <w:b w:val="0"/>
          <w:i w:val="0"/>
        </w:rPr>
        <w:t>2.5.9. Дополнительно ведущий инженер: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[ВИНЖ-D-01] </w:t>
      </w:r>
      <w:r>
        <w:rPr>
          <w:b w:val="0"/>
          <w:i w:val="0"/>
        </w:rPr>
        <w:t>3.8. Дополнительно во время работы ведущий инженер садово-паркового хозяйства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[ВИНЖ-E-01] </w:t>
      </w:r>
      <w:r>
        <w:rPr>
          <w:b w:val="0"/>
          <w:i w:val="0"/>
        </w:rPr>
        <w:t>5.1. Дополнительно по окончании работы ведущий инженер садово-паркового хозяйства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ведущий инженер: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