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Property Ideas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Stations: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Bonus for owning all four.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Botanic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City Hospital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Adelaide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Central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Electric and Gas Companies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Bonus for owning both. Rent is 4x the dice value if one is owned. 10x if both are owned.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property can be built on utilities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Airtricity Gas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Northern Ireland Electricity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Row 1: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1.0 - Collect Student Loan (Start)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1.1 - Agincourt Avenue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1.2 - Shot Card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1.3 - Tates Avenue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1.4 - Pay Rent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1.5 - Adelaide Train Station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1.6 - BCB Rubble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1.7 - Unique Twist Card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1.8 - Dunluce Avenue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1.9 - Malone Avenue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Row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2.0 - Lecture Hall (Just Visiting)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2.1 - School of Creative Arts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2.2 - Northern Ireland Electric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2.3Theology Centre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2.4 - Malone Road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2.5 - City Hospital Train Station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2.6 - Fitzwilliam Street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2.7 - Shot Card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2.8 - Archeology Building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2.9 - ECS Building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Row 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3.0 - PEC Parking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3.1 - Boojum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3.2 - Unique Twist Card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3.3 - PEC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3.4 - Ashby Building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3.5 - Botanic Train Station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3.6 - Library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3.7 - Peter Froggatt Centre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3.8 - Airtricity Gas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3.9 - MBC Building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Row 4: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4.0 - Go to Software Engineering Lecture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4.1 - Whitla Hall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4.2 - David Keir Building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4.3 - Shot Card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4.4 - Students Union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4.5 - Central Train Station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4.6 - Unique Twist Card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4.7 - Botanic Gardens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4.8 - Pay Student Loan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4.9 - Lanyon Building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