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20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Teacher: Dr. Qiaohong Li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Rule="auto"/>
        <w:rPr>
          <w:rFonts w:ascii="Old Standard TT" w:cs="Old Standard TT" w:eastAsia="Old Standard TT" w:hAnsi="Old Standard TT"/>
          <w:b w:val="1"/>
        </w:rPr>
      </w:pPr>
      <w:r w:rsidDel="00000000" w:rsidR="00000000" w:rsidRPr="00000000">
        <w:rPr>
          <w:rFonts w:ascii="Old Standard TT" w:cs="Old Standard TT" w:eastAsia="Old Standard TT" w:hAnsi="Old Standard TT"/>
          <w:b w:val="1"/>
          <w:rtl w:val="0"/>
        </w:rPr>
        <w:t xml:space="preserve">Email: qhli@nus.edu.sg</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m9gdb6sgs64i" w:id="0"/>
      <w:bookmarkEnd w:id="0"/>
      <w:r w:rsidDel="00000000" w:rsidR="00000000" w:rsidRPr="00000000">
        <w:rPr>
          <w:rtl w:val="0"/>
        </w:rPr>
        <w:t xml:space="preserve">Exercise 6</w:t>
      </w:r>
      <w:r w:rsidDel="00000000" w:rsidR="00000000" w:rsidRPr="00000000">
        <w:rPr>
          <w:rtl w:val="0"/>
        </w:rPr>
        <w:br w:type="textWrapping"/>
      </w:r>
      <w:r w:rsidDel="00000000" w:rsidR="00000000" w:rsidRPr="00000000">
        <w:rPr>
          <w:color w:val="000000"/>
          <w:rtl w:val="0"/>
        </w:rPr>
        <w:t xml:space="preserve">Implement VGG16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___</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rPr/>
      </w:pPr>
      <w:bookmarkStart w:colFirst="0" w:colLast="0" w:name="_j8qvffz5xeyz" w:id="1"/>
      <w:bookmarkEnd w:id="1"/>
      <w:r w:rsidDel="00000000" w:rsidR="00000000" w:rsidRPr="00000000">
        <w:rPr>
          <w:rtl w:val="0"/>
        </w:rPr>
        <w:t xml:space="preserve">Introduction: Train the RNN models on Fashion-MNIST dataset.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 this exercise, we'll build the VGG16 network from scratch.  VGG16 has one input and one output, with layers stacked one by one. We have enough knowledge to implement it by ourselves. Both tf.keras Sequential and Functional API can be used.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9204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0432"/>
                    </a:xfrm>
                    <a:prstGeom prst="rect"/>
                    <a:ln/>
                  </pic:spPr>
                </pic:pic>
              </a:graphicData>
            </a:graphic>
          </wp:inline>
        </w:drawing>
      </w:r>
      <w:r w:rsidDel="00000000" w:rsidR="00000000" w:rsidRPr="00000000">
        <w:rPr>
          <w:rtl w:val="0"/>
        </w:rPr>
      </w:r>
    </w:p>
    <w:sectPr>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