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3B475" w14:textId="5AC3998D" w:rsidR="00ED725E" w:rsidRDefault="00ED725E" w:rsidP="003F70E7">
      <w:pPr>
        <w:rPr>
          <w:rFonts w:ascii="Segoe UI" w:hAnsi="Segoe UI" w:cs="Segoe UI"/>
          <w:color w:val="BDBDBE"/>
          <w:sz w:val="20"/>
          <w:szCs w:val="20"/>
          <w:shd w:val="clear" w:color="auto" w:fill="1B1B1E"/>
        </w:rPr>
      </w:pPr>
      <w:bookmarkStart w:id="0" w:name="OLE_LINK3"/>
      <w:r>
        <w:rPr>
          <w:rFonts w:ascii="Segoe UI" w:hAnsi="Segoe UI" w:cs="Segoe UI"/>
          <w:color w:val="BDBDBE"/>
          <w:sz w:val="20"/>
          <w:szCs w:val="20"/>
          <w:shd w:val="clear" w:color="auto" w:fill="1B1B1E"/>
        </w:rPr>
        <w:t>Bringing</w:t>
      </w:r>
      <w:r w:rsidR="00155B9B">
        <w:rPr>
          <w:rFonts w:ascii="Segoe UI" w:hAnsi="Segoe UI" w:cs="Segoe UI"/>
          <w:color w:val="BDBDBE"/>
          <w:sz w:val="20"/>
          <w:szCs w:val="20"/>
          <w:shd w:val="clear" w:color="auto" w:fill="1B1B1E"/>
        </w:rPr>
        <w:t xml:space="preserve"> an</w:t>
      </w:r>
      <w:r>
        <w:rPr>
          <w:rFonts w:ascii="Segoe UI" w:hAnsi="Segoe UI" w:cs="Segoe UI"/>
          <w:color w:val="BDBDBE"/>
          <w:sz w:val="20"/>
          <w:szCs w:val="20"/>
          <w:shd w:val="clear" w:color="auto" w:fill="1B1B1E"/>
        </w:rPr>
        <w:t xml:space="preserve"> </w:t>
      </w:r>
      <w:r>
        <w:rPr>
          <w:rFonts w:ascii="Segoe UI" w:hAnsi="Segoe UI" w:cs="Segoe UI"/>
          <w:color w:val="BDBDBE"/>
          <w:sz w:val="20"/>
          <w:szCs w:val="20"/>
          <w:shd w:val="clear" w:color="auto" w:fill="1B1B1E"/>
        </w:rPr>
        <w:t xml:space="preserve">Agentic </w:t>
      </w:r>
      <w:r>
        <w:rPr>
          <w:rFonts w:ascii="Segoe UI" w:hAnsi="Segoe UI" w:cs="Segoe UI"/>
          <w:color w:val="BDBDBE"/>
          <w:sz w:val="20"/>
          <w:szCs w:val="20"/>
          <w:shd w:val="clear" w:color="auto" w:fill="1B1B1E"/>
        </w:rPr>
        <w:t>AI Mesh</w:t>
      </w:r>
      <w:r>
        <w:rPr>
          <w:rFonts w:ascii="Segoe UI" w:hAnsi="Segoe UI" w:cs="Segoe UI"/>
          <w:color w:val="BDBDBE"/>
          <w:sz w:val="20"/>
          <w:szCs w:val="20"/>
          <w:shd w:val="clear" w:color="auto" w:fill="1B1B1E"/>
        </w:rPr>
        <w:noBreakHyphen/>
        <w:t>style governance to</w:t>
      </w:r>
      <w:r>
        <w:rPr>
          <w:rFonts w:ascii="Segoe UI" w:hAnsi="Segoe UI" w:cs="Segoe UI"/>
          <w:color w:val="BDBDBE"/>
          <w:sz w:val="20"/>
          <w:szCs w:val="20"/>
          <w:shd w:val="clear" w:color="auto" w:fill="1B1B1E"/>
        </w:rPr>
        <w:t xml:space="preserve"> </w:t>
      </w:r>
      <w:r w:rsidR="00155B9B">
        <w:rPr>
          <w:rFonts w:ascii="Segoe UI" w:hAnsi="Segoe UI" w:cs="Segoe UI"/>
          <w:color w:val="BDBDBE"/>
          <w:sz w:val="20"/>
          <w:szCs w:val="20"/>
          <w:shd w:val="clear" w:color="auto" w:fill="1B1B1E"/>
        </w:rPr>
        <w:t>non-technical stakeholders with n8n</w:t>
      </w:r>
    </w:p>
    <w:p w14:paraId="5A510993" w14:textId="77777777" w:rsidR="00ED725E" w:rsidRDefault="00ED725E" w:rsidP="00ED725E">
      <w:r>
        <w:t>Agentic workflows are reshaping how businesses add intelligence to day</w:t>
      </w:r>
      <w:r>
        <w:rPr>
          <w:rFonts w:ascii="Cambria Math" w:hAnsi="Cambria Math" w:cs="Cambria Math"/>
        </w:rPr>
        <w:t>‑</w:t>
      </w:r>
      <w:r>
        <w:t>to</w:t>
      </w:r>
      <w:r>
        <w:rPr>
          <w:rFonts w:ascii="Cambria Math" w:hAnsi="Cambria Math" w:cs="Cambria Math"/>
        </w:rPr>
        <w:t>‑</w:t>
      </w:r>
      <w:r>
        <w:t>day processes. From automated ticket triage in SaaS help desks to dynamic contract review in legal ops, the ability to let an LLM</w:t>
      </w:r>
      <w:r>
        <w:rPr>
          <w:rFonts w:ascii="Cambria Math" w:hAnsi="Cambria Math" w:cs="Cambria Math"/>
        </w:rPr>
        <w:t>‑</w:t>
      </w:r>
      <w:r>
        <w:t>powered agent act on real</w:t>
      </w:r>
      <w:r>
        <w:rPr>
          <w:rFonts w:ascii="Cambria Math" w:hAnsi="Cambria Math" w:cs="Cambria Math"/>
        </w:rPr>
        <w:t>‑</w:t>
      </w:r>
      <w:r>
        <w:t>time data is a game</w:t>
      </w:r>
      <w:r>
        <w:rPr>
          <w:rFonts w:ascii="Cambria Math" w:hAnsi="Cambria Math" w:cs="Cambria Math"/>
        </w:rPr>
        <w:t>‑</w:t>
      </w:r>
      <w:r>
        <w:t>changer.</w:t>
      </w:r>
    </w:p>
    <w:p w14:paraId="4BE9D6DB" w14:textId="77777777" w:rsidR="00ED725E" w:rsidRDefault="00ED725E" w:rsidP="00ED725E">
      <w:pPr>
        <w:pStyle w:val="ListParagraph"/>
        <w:numPr>
          <w:ilvl w:val="0"/>
          <w:numId w:val="1"/>
        </w:numPr>
      </w:pPr>
      <w:r>
        <w:t>Customer support – A single agent can answer FAQs, flag complex tickets, and hand off to a human only when needed.</w:t>
      </w:r>
    </w:p>
    <w:p w14:paraId="01B69B3D" w14:textId="77777777" w:rsidR="00ED725E" w:rsidRDefault="00ED725E" w:rsidP="00ED725E">
      <w:pPr>
        <w:pStyle w:val="ListParagraph"/>
        <w:numPr>
          <w:ilvl w:val="0"/>
          <w:numId w:val="1"/>
        </w:numPr>
      </w:pPr>
      <w:r>
        <w:t>Legal &amp; compliance – An agent parses clauses, flags risks, and drafts summaries in seconds.</w:t>
      </w:r>
    </w:p>
    <w:p w14:paraId="0A2762B2" w14:textId="77777777" w:rsidR="00ED725E" w:rsidRDefault="00ED725E" w:rsidP="00ED725E">
      <w:pPr>
        <w:pStyle w:val="ListParagraph"/>
        <w:numPr>
          <w:ilvl w:val="0"/>
          <w:numId w:val="1"/>
        </w:numPr>
      </w:pPr>
      <w:r>
        <w:t>Marketing automation – Agents personalize email copy based on customer segments, boosting engagement rates.</w:t>
      </w:r>
    </w:p>
    <w:p w14:paraId="3E58A918" w14:textId="4591EC69" w:rsidR="00ED725E" w:rsidRDefault="00ED725E" w:rsidP="00ED725E">
      <w:pPr>
        <w:pStyle w:val="ListParagraph"/>
        <w:numPr>
          <w:ilvl w:val="0"/>
          <w:numId w:val="1"/>
        </w:numPr>
      </w:pPr>
      <w:r>
        <w:t>Finance &amp; operations – Agents reconcile invoices, predict cash</w:t>
      </w:r>
      <w:r w:rsidRPr="00ED725E">
        <w:rPr>
          <w:rFonts w:ascii="Cambria Math" w:hAnsi="Cambria Math" w:cs="Cambria Math"/>
        </w:rPr>
        <w:t>‑</w:t>
      </w:r>
      <w:r>
        <w:t>flow gaps, and auto</w:t>
      </w:r>
      <w:r w:rsidRPr="00ED725E">
        <w:rPr>
          <w:rFonts w:ascii="Cambria Math" w:hAnsi="Cambria Math" w:cs="Cambria Math"/>
        </w:rPr>
        <w:t>‑</w:t>
      </w:r>
      <w:r>
        <w:t>generate reports.</w:t>
      </w:r>
    </w:p>
    <w:p w14:paraId="269183E0" w14:textId="6A5BD7EE" w:rsidR="00ED725E" w:rsidRDefault="00ED725E" w:rsidP="00ED725E">
      <w:r>
        <w:t>These use</w:t>
      </w:r>
      <w:r>
        <w:rPr>
          <w:rFonts w:ascii="Cambria Math" w:hAnsi="Cambria Math" w:cs="Cambria Math"/>
        </w:rPr>
        <w:t>‑</w:t>
      </w:r>
      <w:r>
        <w:t>cases illustrate the same pattern: AI</w:t>
      </w:r>
      <w:r>
        <w:rPr>
          <w:rFonts w:ascii="Cambria Math" w:hAnsi="Cambria Math" w:cs="Cambria Math"/>
        </w:rPr>
        <w:t>‑</w:t>
      </w:r>
      <w:r>
        <w:t>powered decision logic wrapped in a workflow that can be edited by non</w:t>
      </w:r>
      <w:r>
        <w:rPr>
          <w:rFonts w:ascii="Cambria Math" w:hAnsi="Cambria Math" w:cs="Cambria Math"/>
        </w:rPr>
        <w:t>‑</w:t>
      </w:r>
      <w:r>
        <w:t>technical stakeholders.</w:t>
      </w:r>
    </w:p>
    <w:p w14:paraId="008BF4A2" w14:textId="77777777" w:rsidR="00ED725E" w:rsidRDefault="00ED725E" w:rsidP="00ED725E"/>
    <w:p w14:paraId="0C6F1684" w14:textId="31FBD5C9" w:rsidR="00ED725E" w:rsidRDefault="00ED725E" w:rsidP="00ED725E">
      <w:r>
        <w:t>I</w:t>
      </w:r>
      <w:r>
        <w:t>n a prior post we described the Agentic AI Mesh architecture (</w:t>
      </w:r>
      <w:hyperlink r:id="rId5" w:history="1">
        <w:r w:rsidRPr="0064478E">
          <w:rPr>
            <w:rStyle w:val="Hyperlink"/>
          </w:rPr>
          <w:t>https://medium.com/quantumblack/how-we-enabled-agents-at-scale-in-the-enterprise-with-the-agentic-ai-mesh-architecture-baf4290daf48</w:t>
        </w:r>
      </w:hyperlink>
      <w:r>
        <w:t>)</w:t>
      </w:r>
      <w:r>
        <w:t xml:space="preserve">, </w:t>
      </w:r>
      <w:r>
        <w:t>principles to manage such complexity as such solution scale in productiion, interacting with other core systems of record and agentic systems. ARK is an agentic runtime we did develop that implements such principles with agentic components (tools, models, other CRDs..) discoverabiliy, reusability, scalibility and  orchestration at its core.</w:t>
      </w:r>
    </w:p>
    <w:p w14:paraId="766BFC1B" w14:textId="5F902455" w:rsidR="00ED725E" w:rsidRDefault="00ED725E" w:rsidP="00ED725E">
      <w:r>
        <w:t>Key Mesh principles:</w:t>
      </w:r>
    </w:p>
    <w:tbl>
      <w:tblPr>
        <w:tblStyle w:val="TableGrid"/>
        <w:tblW w:w="0" w:type="auto"/>
        <w:tblLook w:val="04A0" w:firstRow="1" w:lastRow="0" w:firstColumn="1" w:lastColumn="0" w:noHBand="0" w:noVBand="1"/>
      </w:tblPr>
      <w:tblGrid>
        <w:gridCol w:w="2263"/>
        <w:gridCol w:w="7087"/>
      </w:tblGrid>
      <w:tr w:rsidR="00ED725E" w14:paraId="6846741C" w14:textId="77777777" w:rsidTr="00ED725E">
        <w:tc>
          <w:tcPr>
            <w:tcW w:w="2263" w:type="dxa"/>
          </w:tcPr>
          <w:p w14:paraId="3C51DC33" w14:textId="21A1CB26" w:rsidR="00ED725E" w:rsidRDefault="00ED725E" w:rsidP="00ED725E">
            <w:r>
              <w:t>PRINCIPLE</w:t>
            </w:r>
          </w:p>
        </w:tc>
        <w:tc>
          <w:tcPr>
            <w:tcW w:w="7087" w:type="dxa"/>
          </w:tcPr>
          <w:p w14:paraId="2B7951DE" w14:textId="1336E1B6" w:rsidR="00ED725E" w:rsidRDefault="00ED725E" w:rsidP="00ED725E">
            <w:r>
              <w:t>HOW ARK IMPLEMENTS IT</w:t>
            </w:r>
          </w:p>
        </w:tc>
      </w:tr>
      <w:tr w:rsidR="00ED725E" w14:paraId="4B8CDDDA" w14:textId="77777777" w:rsidTr="00ED725E">
        <w:tc>
          <w:tcPr>
            <w:tcW w:w="2263" w:type="dxa"/>
          </w:tcPr>
          <w:p w14:paraId="71E1346E" w14:textId="3A629A60" w:rsidR="00ED725E" w:rsidRDefault="00ED725E" w:rsidP="00ED725E">
            <w:r>
              <w:t xml:space="preserve">Discoverability      </w:t>
            </w:r>
          </w:p>
        </w:tc>
        <w:tc>
          <w:tcPr>
            <w:tcW w:w="7087" w:type="dxa"/>
          </w:tcPr>
          <w:p w14:paraId="67A54D21" w14:textId="449C3B71" w:rsidR="00ED725E" w:rsidRDefault="00ED725E" w:rsidP="00ED725E">
            <w:r>
              <w:t>Agents, models, evaluators are exposed as Kubernetes CRDs; any system can list or query them.</w:t>
            </w:r>
          </w:p>
        </w:tc>
      </w:tr>
      <w:tr w:rsidR="00ED725E" w14:paraId="41FF578A" w14:textId="77777777" w:rsidTr="00ED725E">
        <w:tc>
          <w:tcPr>
            <w:tcW w:w="2263" w:type="dxa"/>
          </w:tcPr>
          <w:p w14:paraId="7627DF7D" w14:textId="028EE1C8" w:rsidR="00ED725E" w:rsidRDefault="00ED725E" w:rsidP="00ED725E">
            <w:r>
              <w:t>Reusability</w:t>
            </w:r>
          </w:p>
        </w:tc>
        <w:tc>
          <w:tcPr>
            <w:tcW w:w="7087" w:type="dxa"/>
          </w:tcPr>
          <w:p w14:paraId="78CDC351" w14:textId="77777777" w:rsidR="00ED725E" w:rsidRDefault="00ED725E" w:rsidP="00ED725E">
            <w:r>
              <w:t>A single agent definition can be referenced by dozens of workflows, APIs, or scheduled jobs.</w:t>
            </w:r>
          </w:p>
          <w:p w14:paraId="72B5C2CE" w14:textId="77777777" w:rsidR="00ED725E" w:rsidRDefault="00ED725E" w:rsidP="00ED725E"/>
        </w:tc>
      </w:tr>
      <w:tr w:rsidR="00ED725E" w14:paraId="1ACA0E36" w14:textId="77777777" w:rsidTr="00ED725E">
        <w:tc>
          <w:tcPr>
            <w:tcW w:w="2263" w:type="dxa"/>
          </w:tcPr>
          <w:p w14:paraId="3565A909" w14:textId="7C8FBE66" w:rsidR="00ED725E" w:rsidRDefault="00ED725E" w:rsidP="00ED725E">
            <w:r>
              <w:t>Scalability</w:t>
            </w:r>
          </w:p>
        </w:tc>
        <w:tc>
          <w:tcPr>
            <w:tcW w:w="7087" w:type="dxa"/>
          </w:tcPr>
          <w:p w14:paraId="18128D79" w14:textId="5285ED77" w:rsidR="00ED725E" w:rsidRDefault="00ED725E" w:rsidP="00ED725E">
            <w:r>
              <w:t>Pods are autoscaled per workload; evaluation capacity is independent from agent execution.</w:t>
            </w:r>
          </w:p>
        </w:tc>
      </w:tr>
      <w:tr w:rsidR="00ED725E" w14:paraId="32440D0C" w14:textId="77777777" w:rsidTr="00ED725E">
        <w:tc>
          <w:tcPr>
            <w:tcW w:w="2263" w:type="dxa"/>
          </w:tcPr>
          <w:p w14:paraId="46FE4B29" w14:textId="02DF65B1" w:rsidR="00ED725E" w:rsidRDefault="00ED725E" w:rsidP="00ED725E">
            <w:r>
              <w:t>Orchestration</w:t>
            </w:r>
          </w:p>
        </w:tc>
        <w:tc>
          <w:tcPr>
            <w:tcW w:w="7087" w:type="dxa"/>
          </w:tcPr>
          <w:p w14:paraId="24963A37" w14:textId="3B6EB2DA" w:rsidR="00ED725E" w:rsidRDefault="00ED725E" w:rsidP="00ED725E">
            <w:r>
              <w:t>The ARK Operator guarantees consistent state and manages cross</w:t>
            </w:r>
            <w:r>
              <w:rPr>
                <w:rFonts w:ascii="Cambria Math" w:hAnsi="Cambria Math" w:cs="Cambria Math"/>
              </w:rPr>
              <w:t>‑</w:t>
            </w:r>
            <w:r>
              <w:t>resource dependencies.</w:t>
            </w:r>
          </w:p>
        </w:tc>
      </w:tr>
    </w:tbl>
    <w:p w14:paraId="59F41CEB" w14:textId="77777777" w:rsidR="00ED725E" w:rsidRDefault="00ED725E" w:rsidP="00ED725E"/>
    <w:p w14:paraId="3D3BBF77" w14:textId="647E9FC7" w:rsidR="00553A54" w:rsidRDefault="00ED725E" w:rsidP="00553A54">
      <w:r>
        <w:lastRenderedPageBreak/>
        <w:t xml:space="preserve">ARK is </w:t>
      </w:r>
      <w:r>
        <w:t>our open-source</w:t>
      </w:r>
      <w:r>
        <w:t xml:space="preserve"> </w:t>
      </w:r>
      <w:r>
        <w:t xml:space="preserve">Kubernetes </w:t>
      </w:r>
      <w:r>
        <w:t>runtime that brings these principles to life</w:t>
      </w:r>
      <w:r>
        <w:t xml:space="preserve"> bringing advanced governance and control on the platform layer. </w:t>
      </w:r>
      <w:r w:rsidR="00553A54">
        <w:t xml:space="preserve">Since any component in ARK is exposed through APIs, it opens up the ability to have underlying resources (agents, models, mcp servers, tools, evaluations..) consumable by third party services, frontend and even low-code workflow editors such as n8n, eventually exposing powerful and intelligent agentic capabilities to </w:t>
      </w:r>
      <w:r w:rsidR="00553A54">
        <w:rPr>
          <w:rFonts w:ascii="Segoe UI" w:hAnsi="Segoe UI" w:cs="Segoe UI"/>
          <w:sz w:val="21"/>
          <w:szCs w:val="21"/>
          <w:shd w:val="clear" w:color="auto" w:fill="1B1B1E"/>
        </w:rPr>
        <w:t>Non</w:t>
      </w:r>
      <w:r w:rsidR="00553A54">
        <w:rPr>
          <w:rFonts w:ascii="Segoe UI" w:hAnsi="Segoe UI" w:cs="Segoe UI"/>
          <w:sz w:val="21"/>
          <w:szCs w:val="21"/>
          <w:shd w:val="clear" w:color="auto" w:fill="1B1B1E"/>
        </w:rPr>
        <w:noBreakHyphen/>
        <w:t>technical stakeholders can tweak routing, set quality thresholds, and add new integrations—all in the UI</w:t>
      </w:r>
      <w:r w:rsidR="00553A54">
        <w:rPr>
          <w:rFonts w:ascii="Segoe UI" w:hAnsi="Segoe UI" w:cs="Segoe UI"/>
          <w:sz w:val="21"/>
          <w:szCs w:val="21"/>
          <w:shd w:val="clear" w:color="auto" w:fill="1B1B1E"/>
        </w:rPr>
        <w:t xml:space="preserve"> while leveraging </w:t>
      </w:r>
      <w:r w:rsidR="00553A54">
        <w:rPr>
          <w:rFonts w:ascii="Segoe UI" w:hAnsi="Segoe UI" w:cs="Segoe UI"/>
          <w:sz w:val="21"/>
          <w:szCs w:val="21"/>
          <w:shd w:val="clear" w:color="auto" w:fill="1B1B1E"/>
        </w:rPr>
        <w:t>400+ pre</w:t>
      </w:r>
      <w:r w:rsidR="00553A54">
        <w:rPr>
          <w:rFonts w:ascii="Segoe UI" w:hAnsi="Segoe UI" w:cs="Segoe UI"/>
          <w:sz w:val="21"/>
          <w:szCs w:val="21"/>
          <w:shd w:val="clear" w:color="auto" w:fill="1B1B1E"/>
        </w:rPr>
        <w:noBreakHyphen/>
        <w:t>built integrations (CRM, ticketing, databases, communication platforms)</w:t>
      </w:r>
      <w:r w:rsidR="00553A54">
        <w:rPr>
          <w:rFonts w:ascii="Segoe UI" w:hAnsi="Segoe UI" w:cs="Segoe UI"/>
          <w:sz w:val="21"/>
          <w:szCs w:val="21"/>
          <w:shd w:val="clear" w:color="auto" w:fill="1B1B1E"/>
        </w:rPr>
        <w:t xml:space="preserve"> in n8n</w:t>
      </w:r>
      <w:r w:rsidR="00553A54">
        <w:t>.</w:t>
      </w:r>
    </w:p>
    <w:p w14:paraId="369CB1A0" w14:textId="13A3AAE7" w:rsidR="00553A54" w:rsidRPr="00ED725E" w:rsidRDefault="00553A54" w:rsidP="00553A54">
      <w:r w:rsidRPr="00553A54">
        <w:drawing>
          <wp:inline distT="0" distB="0" distL="0" distR="0" wp14:anchorId="08E01426" wp14:editId="4AB0B2A6">
            <wp:extent cx="5943600" cy="2449830"/>
            <wp:effectExtent l="0" t="0" r="0" b="1270"/>
            <wp:docPr id="656806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806081" name=""/>
                    <pic:cNvPicPr/>
                  </pic:nvPicPr>
                  <pic:blipFill>
                    <a:blip r:embed="rId6"/>
                    <a:stretch>
                      <a:fillRect/>
                    </a:stretch>
                  </pic:blipFill>
                  <pic:spPr>
                    <a:xfrm>
                      <a:off x="0" y="0"/>
                      <a:ext cx="5943600" cy="2449830"/>
                    </a:xfrm>
                    <a:prstGeom prst="rect">
                      <a:avLst/>
                    </a:prstGeom>
                  </pic:spPr>
                </pic:pic>
              </a:graphicData>
            </a:graphic>
          </wp:inline>
        </w:drawing>
      </w:r>
    </w:p>
    <w:p w14:paraId="3EE7AE01" w14:textId="4D3EBBD9" w:rsidR="00ED725E" w:rsidRDefault="00553A54" w:rsidP="00ED725E">
      <w:pPr>
        <w:rPr>
          <w:rFonts w:ascii="Segoe UI" w:hAnsi="Segoe UI" w:cs="Segoe UI"/>
          <w:sz w:val="21"/>
          <w:szCs w:val="21"/>
          <w:shd w:val="clear" w:color="auto" w:fill="1B1B1E"/>
        </w:rPr>
      </w:pPr>
      <w:r>
        <w:rPr>
          <w:rFonts w:ascii="Segoe UI" w:hAnsi="Segoe UI" w:cs="Segoe UI"/>
          <w:sz w:val="21"/>
          <w:szCs w:val="21"/>
          <w:shd w:val="clear" w:color="auto" w:fill="1B1B1E"/>
        </w:rPr>
        <w:t>The </w:t>
      </w:r>
      <w:r>
        <w:rPr>
          <w:rStyle w:val="Strong"/>
          <w:rFonts w:ascii="Segoe UI" w:hAnsi="Segoe UI" w:cs="Segoe UI"/>
          <w:color w:val="FFFFFF"/>
          <w:sz w:val="21"/>
          <w:szCs w:val="21"/>
          <w:shd w:val="clear" w:color="auto" w:fill="1B1B1E"/>
        </w:rPr>
        <w:t>three</w:t>
      </w:r>
      <w:r>
        <w:rPr>
          <w:rStyle w:val="Strong"/>
          <w:rFonts w:ascii="Segoe UI" w:hAnsi="Segoe UI" w:cs="Segoe UI"/>
          <w:color w:val="FFFFFF"/>
          <w:sz w:val="21"/>
          <w:szCs w:val="21"/>
          <w:shd w:val="clear" w:color="auto" w:fill="1B1B1E"/>
        </w:rPr>
        <w:noBreakHyphen/>
        <w:t>layer stack</w:t>
      </w:r>
      <w:r>
        <w:rPr>
          <w:rFonts w:ascii="Segoe UI" w:hAnsi="Segoe UI" w:cs="Segoe UI"/>
          <w:sz w:val="21"/>
          <w:szCs w:val="21"/>
          <w:shd w:val="clear" w:color="auto" w:fill="1B1B1E"/>
        </w:rPr>
        <w:t> lets platform teams own the AI runtime while business users own the workflows. Each layer can evolve independently, yet they remain tightly coupled through well</w:t>
      </w:r>
      <w:r>
        <w:rPr>
          <w:rFonts w:ascii="Segoe UI" w:hAnsi="Segoe UI" w:cs="Segoe UI"/>
          <w:sz w:val="21"/>
          <w:szCs w:val="21"/>
          <w:shd w:val="clear" w:color="auto" w:fill="1B1B1E"/>
        </w:rPr>
        <w:noBreakHyphen/>
        <w:t>defined APIs.</w:t>
      </w:r>
    </w:p>
    <w:p w14:paraId="114D2FDA" w14:textId="03E478DF" w:rsidR="00155B9B" w:rsidRDefault="00155B9B" w:rsidP="00ED725E">
      <w:pPr>
        <w:rPr>
          <w:rFonts w:ascii="Segoe UI" w:hAnsi="Segoe UI" w:cs="Segoe UI"/>
          <w:sz w:val="21"/>
          <w:szCs w:val="21"/>
          <w:shd w:val="clear" w:color="auto" w:fill="1B1B1E"/>
        </w:rPr>
      </w:pPr>
      <w:r>
        <w:rPr>
          <w:rFonts w:ascii="Segoe UI" w:hAnsi="Segoe UI" w:cs="Segoe UI"/>
          <w:sz w:val="21"/>
          <w:szCs w:val="21"/>
          <w:shd w:val="clear" w:color="auto" w:fill="1B1B1E"/>
        </w:rPr>
        <w:t>In the following example, we illustrate such approach for a customer support flow  (explain further what this is, how recurring this process is in the industry and how agents can be valuable with proper governance from fintech to large corporations).</w:t>
      </w:r>
    </w:p>
    <w:p w14:paraId="18AA4FED" w14:textId="65706DF5" w:rsidR="00155B9B" w:rsidRDefault="003F70E7" w:rsidP="00ED725E">
      <w:pPr>
        <w:rPr>
          <w:rFonts w:ascii="Segoe UI" w:hAnsi="Segoe UI" w:cs="Segoe UI"/>
          <w:sz w:val="21"/>
          <w:szCs w:val="21"/>
          <w:shd w:val="clear" w:color="auto" w:fill="1B1B1E"/>
        </w:rPr>
      </w:pPr>
      <w:r>
        <w:rPr>
          <w:rFonts w:ascii="Segoe UI" w:hAnsi="Segoe UI" w:cs="Segoe UI"/>
          <w:sz w:val="21"/>
          <w:szCs w:val="21"/>
          <w:shd w:val="clear" w:color="auto" w:fill="1B1B1E"/>
        </w:rPr>
        <w:t>Here we can add the screenshot of the full and describe each step</w:t>
      </w:r>
    </w:p>
    <w:p w14:paraId="10CDC44E" w14:textId="77777777" w:rsidR="00155B9B" w:rsidRDefault="00155B9B" w:rsidP="00155B9B">
      <w:pPr>
        <w:pStyle w:val="ListParagraph"/>
        <w:numPr>
          <w:ilvl w:val="0"/>
          <w:numId w:val="2"/>
        </w:numPr>
      </w:pPr>
      <w:r>
        <w:t>Webhook Trigger – A new support ticket lands in the CRM.</w:t>
      </w:r>
    </w:p>
    <w:p w14:paraId="69A0D1AE" w14:textId="4C3D28DF" w:rsidR="00155B9B" w:rsidRDefault="00155B9B" w:rsidP="00155B9B">
      <w:pPr>
        <w:pStyle w:val="ListParagraph"/>
        <w:numPr>
          <w:ilvl w:val="0"/>
          <w:numId w:val="2"/>
        </w:numPr>
      </w:pPr>
      <w:r>
        <w:t>ARK Agent Node – The ticket text is sent to the support-response-agent</w:t>
      </w:r>
      <w:r w:rsidR="003F70E7">
        <w:t xml:space="preserve"> (Explain that the agent is available in Ark, and we can show a screenshot showing a list of reusable agents)</w:t>
      </w:r>
      <w:r>
        <w:t>.</w:t>
      </w:r>
    </w:p>
    <w:p w14:paraId="6FEED2DA" w14:textId="5C0CB80D" w:rsidR="00155B9B" w:rsidRDefault="00155B9B" w:rsidP="00155B9B">
      <w:pPr>
        <w:pStyle w:val="ListParagraph"/>
        <w:numPr>
          <w:ilvl w:val="0"/>
          <w:numId w:val="2"/>
        </w:numPr>
      </w:pPr>
      <w:r>
        <w:t>ARK Evaluation Node – The agent’s reply is evaluated against the support-quality-evaluator</w:t>
      </w:r>
      <w:r w:rsidR="003F70E7">
        <w:t xml:space="preserve"> (explain that we leverage the evaluation capabilities of Ark)</w:t>
      </w:r>
      <w:r>
        <w:t>.</w:t>
      </w:r>
    </w:p>
    <w:p w14:paraId="60E1AE21" w14:textId="77777777" w:rsidR="00155B9B" w:rsidRDefault="00155B9B" w:rsidP="00155B9B">
      <w:pPr>
        <w:pStyle w:val="ListParagraph"/>
        <w:numPr>
          <w:ilvl w:val="0"/>
          <w:numId w:val="2"/>
        </w:numPr>
      </w:pPr>
      <w:r>
        <w:t>IF Node –</w:t>
      </w:r>
    </w:p>
    <w:p w14:paraId="028A5EB1" w14:textId="77777777" w:rsidR="00155B9B" w:rsidRDefault="00155B9B" w:rsidP="00155B9B">
      <w:pPr>
        <w:pStyle w:val="ListParagraph"/>
        <w:numPr>
          <w:ilvl w:val="1"/>
          <w:numId w:val="2"/>
        </w:numPr>
      </w:pPr>
      <w:r>
        <w:t>Score</w:t>
      </w:r>
      <w:r w:rsidRPr="00155B9B">
        <w:rPr>
          <w:rFonts w:ascii="Arial" w:hAnsi="Arial" w:cs="Arial"/>
        </w:rPr>
        <w:t> </w:t>
      </w:r>
      <w:r>
        <w:t>≥</w:t>
      </w:r>
      <w:r w:rsidRPr="00155B9B">
        <w:rPr>
          <w:rFonts w:ascii="Arial" w:hAnsi="Arial" w:cs="Arial"/>
        </w:rPr>
        <w:t> </w:t>
      </w:r>
      <w:r>
        <w:t>0.8 → Send response to the customer via email.</w:t>
      </w:r>
    </w:p>
    <w:p w14:paraId="218433D6" w14:textId="77777777" w:rsidR="00155B9B" w:rsidRDefault="00155B9B" w:rsidP="00155B9B">
      <w:pPr>
        <w:pStyle w:val="ListParagraph"/>
        <w:numPr>
          <w:ilvl w:val="1"/>
          <w:numId w:val="2"/>
        </w:numPr>
      </w:pPr>
      <w:r>
        <w:lastRenderedPageBreak/>
        <w:t>Score</w:t>
      </w:r>
      <w:r w:rsidRPr="00155B9B">
        <w:rPr>
          <w:rFonts w:ascii="Arial" w:hAnsi="Arial" w:cs="Arial"/>
        </w:rPr>
        <w:t> </w:t>
      </w:r>
      <w:r>
        <w:t>&lt;</w:t>
      </w:r>
      <w:r w:rsidRPr="00155B9B">
        <w:rPr>
          <w:rFonts w:ascii="Arial" w:hAnsi="Arial" w:cs="Arial"/>
        </w:rPr>
        <w:t> </w:t>
      </w:r>
      <w:r>
        <w:t>0.8 → Push draft to a Slack channel for human review, attach evaluation reasoning.</w:t>
      </w:r>
    </w:p>
    <w:p w14:paraId="0FBDA44C" w14:textId="544455F9" w:rsidR="00155B9B" w:rsidRDefault="00155B9B" w:rsidP="00155B9B">
      <w:pPr>
        <w:pStyle w:val="ListParagraph"/>
        <w:numPr>
          <w:ilvl w:val="0"/>
          <w:numId w:val="2"/>
        </w:numPr>
      </w:pPr>
      <w:r>
        <w:t>Post</w:t>
      </w:r>
      <w:r w:rsidRPr="00155B9B">
        <w:rPr>
          <w:rFonts w:ascii="Cambria Math" w:hAnsi="Cambria Math" w:cs="Cambria Math"/>
        </w:rPr>
        <w:t>‑</w:t>
      </w:r>
      <w:r>
        <w:t xml:space="preserve">Action – </w:t>
      </w:r>
      <w:r>
        <w:t>notify</w:t>
      </w:r>
      <w:r>
        <w:t xml:space="preserve"> outcome</w:t>
      </w:r>
      <w:r>
        <w:t xml:space="preserve"> to support Channels (i.e Slack)</w:t>
      </w:r>
      <w:r>
        <w:t>, update ticket status</w:t>
      </w:r>
      <w:r>
        <w:t xml:space="preserve"> in a CRM</w:t>
      </w:r>
      <w:r>
        <w:t>, and optionally trigger a follow</w:t>
      </w:r>
      <w:r w:rsidRPr="00155B9B">
        <w:rPr>
          <w:rFonts w:ascii="Cambria Math" w:hAnsi="Cambria Math" w:cs="Cambria Math"/>
        </w:rPr>
        <w:t>‑</w:t>
      </w:r>
      <w:r>
        <w:t>up workflow.</w:t>
      </w:r>
    </w:p>
    <w:p w14:paraId="340C025A" w14:textId="0D12F592" w:rsidR="00155B9B" w:rsidRPr="00155B9B" w:rsidRDefault="00155B9B" w:rsidP="00155B9B">
      <w:pPr>
        <w:shd w:val="clear" w:color="auto" w:fill="1B1B1E"/>
        <w:spacing w:before="100" w:beforeAutospacing="1" w:after="100" w:afterAutospacing="1" w:line="240" w:lineRule="auto"/>
        <w:outlineLvl w:val="3"/>
        <w:rPr>
          <w:rFonts w:ascii="Segoe UI" w:eastAsia="Times New Roman" w:hAnsi="Segoe UI" w:cs="Segoe UI"/>
          <w:b/>
          <w:bCs/>
          <w:kern w:val="0"/>
          <w:sz w:val="21"/>
          <w:szCs w:val="21"/>
          <w14:ligatures w14:val="none"/>
        </w:rPr>
      </w:pPr>
      <w:r w:rsidRPr="00155B9B">
        <w:rPr>
          <w:rFonts w:ascii="Segoe UI" w:eastAsia="Times New Roman" w:hAnsi="Segoe UI" w:cs="Segoe UI"/>
          <w:b/>
          <w:bCs/>
          <w:kern w:val="0"/>
          <w:sz w:val="21"/>
          <w:szCs w:val="21"/>
          <w14:ligatures w14:val="none"/>
        </w:rPr>
        <w:t>Screenshots (placeholders)</w:t>
      </w:r>
      <w:r>
        <w:rPr>
          <w:rFonts w:ascii="Segoe UI" w:eastAsia="Times New Roman" w:hAnsi="Segoe UI" w:cs="Segoe UI"/>
          <w:b/>
          <w:bCs/>
          <w:kern w:val="0"/>
          <w:sz w:val="21"/>
          <w:szCs w:val="21"/>
          <w14:ligatures w14:val="none"/>
        </w:rPr>
        <w:t xml:space="preserve"> </w:t>
      </w:r>
      <w:r w:rsidR="003F70E7">
        <w:rPr>
          <w:rFonts w:ascii="Segoe UI" w:eastAsia="Times New Roman" w:hAnsi="Segoe UI" w:cs="Segoe UI"/>
          <w:b/>
          <w:bCs/>
          <w:kern w:val="0"/>
          <w:sz w:val="21"/>
          <w:szCs w:val="21"/>
          <w14:ligatures w14:val="none"/>
        </w:rPr>
        <w:t>–</w:t>
      </w:r>
      <w:r>
        <w:rPr>
          <w:rFonts w:ascii="Segoe UI" w:eastAsia="Times New Roman" w:hAnsi="Segoe UI" w:cs="Segoe UI"/>
          <w:b/>
          <w:bCs/>
          <w:kern w:val="0"/>
          <w:sz w:val="21"/>
          <w:szCs w:val="21"/>
          <w14:ligatures w14:val="none"/>
        </w:rPr>
        <w:t xml:space="preserve"> </w:t>
      </w:r>
      <w:r w:rsidR="003F70E7">
        <w:rPr>
          <w:rFonts w:ascii="Segoe UI" w:eastAsia="Times New Roman" w:hAnsi="Segoe UI" w:cs="Segoe UI"/>
          <w:b/>
          <w:bCs/>
          <w:kern w:val="0"/>
          <w:sz w:val="21"/>
          <w:szCs w:val="21"/>
          <w14:ligatures w14:val="none"/>
        </w:rPr>
        <w:t xml:space="preserve">We can also show two other custom nodes like Ark Team and Ark Model, explain that more advanced workflows can be eventually achieved out of this. </w:t>
      </w:r>
    </w:p>
    <w:p w14:paraId="5D964929" w14:textId="77777777" w:rsidR="003F70E7" w:rsidRDefault="003F70E7" w:rsidP="003F70E7">
      <w:r>
        <w:t xml:space="preserve">End with takeways and benefits </w:t>
      </w:r>
      <w:r>
        <w:t>Takeaways, Benefits &amp; Unlocks</w:t>
      </w:r>
    </w:p>
    <w:p w14:paraId="698189A7" w14:textId="77777777" w:rsidR="003F70E7" w:rsidRDefault="003F70E7" w:rsidP="003F70E7">
      <w:r>
        <w:t>BENEFIT</w:t>
      </w:r>
      <w:r>
        <w:tab/>
        <w:t>WHAT IT ENABLES</w:t>
      </w:r>
    </w:p>
    <w:p w14:paraId="298AAAC1" w14:textId="77777777" w:rsidR="003F70E7" w:rsidRDefault="003F70E7" w:rsidP="003F70E7">
      <w:r>
        <w:t>Reusable agent library</w:t>
      </w:r>
      <w:r>
        <w:tab/>
        <w:t>One agent definition powers multiple workflows, APIs, and scheduled jobs.</w:t>
      </w:r>
    </w:p>
    <w:p w14:paraId="47C574D8" w14:textId="77777777" w:rsidR="003F70E7" w:rsidRDefault="003F70E7" w:rsidP="003F70E7">
      <w:r>
        <w:t>Independent scaling</w:t>
      </w:r>
      <w:r>
        <w:tab/>
        <w:t>AI pods and evaluation pods scale separately, preventing bottlenecks.</w:t>
      </w:r>
    </w:p>
    <w:p w14:paraId="7D206E4A" w14:textId="77777777" w:rsidR="003F70E7" w:rsidRDefault="003F70E7" w:rsidP="003F70E7">
      <w:r>
        <w:t>Governance via GitOps</w:t>
      </w:r>
      <w:r>
        <w:tab/>
        <w:t>Every change is versioned, auditable, and rollback</w:t>
      </w:r>
      <w:r>
        <w:rPr>
          <w:rFonts w:ascii="Cambria Math" w:hAnsi="Cambria Math" w:cs="Cambria Math"/>
        </w:rPr>
        <w:t>‑</w:t>
      </w:r>
      <w:r>
        <w:t>ready.</w:t>
      </w:r>
    </w:p>
    <w:p w14:paraId="6033F555" w14:textId="77777777" w:rsidR="003F70E7" w:rsidRDefault="003F70E7" w:rsidP="003F70E7">
      <w:r>
        <w:t>Rapid business iteration</w:t>
      </w:r>
      <w:r>
        <w:tab/>
        <w:t>Non</w:t>
      </w:r>
      <w:r>
        <w:rPr>
          <w:rFonts w:ascii="Cambria Math" w:hAnsi="Cambria Math" w:cs="Cambria Math"/>
        </w:rPr>
        <w:t>‑</w:t>
      </w:r>
      <w:r>
        <w:t>technical users adjust thresholds or add integrations without code.</w:t>
      </w:r>
    </w:p>
    <w:p w14:paraId="44579FA9" w14:textId="77777777" w:rsidR="003F70E7" w:rsidRDefault="003F70E7" w:rsidP="003F70E7">
      <w:r>
        <w:t>Enterprise</w:t>
      </w:r>
      <w:r>
        <w:rPr>
          <w:rFonts w:ascii="Cambria Math" w:hAnsi="Cambria Math" w:cs="Cambria Math"/>
        </w:rPr>
        <w:t>‑</w:t>
      </w:r>
      <w:r>
        <w:t>grade quality gates</w:t>
      </w:r>
      <w:r>
        <w:tab/>
        <w:t>Mis</w:t>
      </w:r>
      <w:r>
        <w:rPr>
          <w:rFonts w:ascii="Cambria Math" w:hAnsi="Cambria Math" w:cs="Cambria Math"/>
        </w:rPr>
        <w:t>‑</w:t>
      </w:r>
      <w:r>
        <w:t>aligned or low</w:t>
      </w:r>
      <w:r>
        <w:rPr>
          <w:rFonts w:ascii="Cambria Math" w:hAnsi="Cambria Math" w:cs="Cambria Math"/>
        </w:rPr>
        <w:t>‑</w:t>
      </w:r>
      <w:r>
        <w:t>quality outputs are caught before reaching customers.</w:t>
      </w:r>
    </w:p>
    <w:p w14:paraId="7094F1CE" w14:textId="77777777" w:rsidR="003F70E7" w:rsidRDefault="003F70E7" w:rsidP="003F70E7">
      <w:r>
        <w:t>Call to Action</w:t>
      </w:r>
    </w:p>
    <w:p w14:paraId="4C5A8839" w14:textId="1D0D5CC1" w:rsidR="00155B9B" w:rsidRPr="00ED725E" w:rsidRDefault="003F70E7" w:rsidP="003F70E7">
      <w:r>
        <w:t>Start with a single agent (e.g., a FAQ responder) and one workflow (ticket triage). Once you’re comfortable, add an evaluator, tighten thresholds, and expose the agent to other business systems. The result? Scalable, governed, and composable AI that grows with your organization—whether you’re a startup or a Fortune</w:t>
      </w:r>
      <w:r>
        <w:rPr>
          <w:rFonts w:ascii="Arial" w:hAnsi="Arial" w:cs="Arial"/>
        </w:rPr>
        <w:t> </w:t>
      </w:r>
      <w:r>
        <w:t>500.</w:t>
      </w:r>
      <w:bookmarkEnd w:id="0"/>
    </w:p>
    <w:sectPr w:rsidR="00155B9B" w:rsidRPr="00ED72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E4E35"/>
    <w:multiLevelType w:val="hybridMultilevel"/>
    <w:tmpl w:val="FAF4F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916CEA"/>
    <w:multiLevelType w:val="hybridMultilevel"/>
    <w:tmpl w:val="4E28E2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1036162">
    <w:abstractNumId w:val="0"/>
  </w:num>
  <w:num w:numId="2" w16cid:durableId="1655646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25E"/>
    <w:rsid w:val="00155B9B"/>
    <w:rsid w:val="002B32EA"/>
    <w:rsid w:val="003F70E7"/>
    <w:rsid w:val="00553A54"/>
    <w:rsid w:val="0092613F"/>
    <w:rsid w:val="00ED725E"/>
  </w:rsids>
  <m:mathPr>
    <m:mathFont m:val="Cambria Math"/>
    <m:brkBin m:val="before"/>
    <m:brkBinSub m:val="--"/>
    <m:smallFrac m:val="0"/>
    <m:dispDef/>
    <m:lMargin m:val="0"/>
    <m:rMargin m:val="0"/>
    <m:defJc m:val="centerGroup"/>
    <m:wrapIndent m:val="1440"/>
    <m:intLim m:val="subSup"/>
    <m:naryLim m:val="undOvr"/>
  </m:mathPr>
  <w:themeFontLang w:val="en-MA" w:bidi="ar-SA"/>
  <w:clrSchemeMapping w:bg1="light1" w:t1="dark1" w:bg2="light2" w:t2="dark2" w:accent1="accent1" w:accent2="accent2" w:accent3="accent3" w:accent4="accent4" w:accent5="accent5" w:accent6="accent6" w:hyperlink="hyperlink" w:followedHyperlink="followedHyperlink"/>
  <w:decimalSymbol w:val=","/>
  <w:listSeparator w:val=","/>
  <w14:docId w14:val="13ACD31C"/>
  <w15:chartTrackingRefBased/>
  <w15:docId w15:val="{4CED8E16-E5F7-5F4B-A3AA-1AE0C0337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2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72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72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D72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72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72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72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72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72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2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72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72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D72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72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72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72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72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725E"/>
    <w:rPr>
      <w:rFonts w:eastAsiaTheme="majorEastAsia" w:cstheme="majorBidi"/>
      <w:color w:val="272727" w:themeColor="text1" w:themeTint="D8"/>
    </w:rPr>
  </w:style>
  <w:style w:type="paragraph" w:styleId="Title">
    <w:name w:val="Title"/>
    <w:basedOn w:val="Normal"/>
    <w:next w:val="Normal"/>
    <w:link w:val="TitleChar"/>
    <w:uiPriority w:val="10"/>
    <w:qFormat/>
    <w:rsid w:val="00ED72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2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72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72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725E"/>
    <w:pPr>
      <w:spacing w:before="160"/>
      <w:jc w:val="center"/>
    </w:pPr>
    <w:rPr>
      <w:i/>
      <w:iCs/>
      <w:color w:val="404040" w:themeColor="text1" w:themeTint="BF"/>
    </w:rPr>
  </w:style>
  <w:style w:type="character" w:customStyle="1" w:styleId="QuoteChar">
    <w:name w:val="Quote Char"/>
    <w:basedOn w:val="DefaultParagraphFont"/>
    <w:link w:val="Quote"/>
    <w:uiPriority w:val="29"/>
    <w:rsid w:val="00ED725E"/>
    <w:rPr>
      <w:i/>
      <w:iCs/>
      <w:color w:val="404040" w:themeColor="text1" w:themeTint="BF"/>
    </w:rPr>
  </w:style>
  <w:style w:type="paragraph" w:styleId="ListParagraph">
    <w:name w:val="List Paragraph"/>
    <w:basedOn w:val="Normal"/>
    <w:uiPriority w:val="34"/>
    <w:qFormat/>
    <w:rsid w:val="00ED725E"/>
    <w:pPr>
      <w:ind w:left="720"/>
      <w:contextualSpacing/>
    </w:pPr>
  </w:style>
  <w:style w:type="character" w:styleId="IntenseEmphasis">
    <w:name w:val="Intense Emphasis"/>
    <w:basedOn w:val="DefaultParagraphFont"/>
    <w:uiPriority w:val="21"/>
    <w:qFormat/>
    <w:rsid w:val="00ED725E"/>
    <w:rPr>
      <w:i/>
      <w:iCs/>
      <w:color w:val="0F4761" w:themeColor="accent1" w:themeShade="BF"/>
    </w:rPr>
  </w:style>
  <w:style w:type="paragraph" w:styleId="IntenseQuote">
    <w:name w:val="Intense Quote"/>
    <w:basedOn w:val="Normal"/>
    <w:next w:val="Normal"/>
    <w:link w:val="IntenseQuoteChar"/>
    <w:uiPriority w:val="30"/>
    <w:qFormat/>
    <w:rsid w:val="00ED72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725E"/>
    <w:rPr>
      <w:i/>
      <w:iCs/>
      <w:color w:val="0F4761" w:themeColor="accent1" w:themeShade="BF"/>
    </w:rPr>
  </w:style>
  <w:style w:type="character" w:styleId="IntenseReference">
    <w:name w:val="Intense Reference"/>
    <w:basedOn w:val="DefaultParagraphFont"/>
    <w:uiPriority w:val="32"/>
    <w:qFormat/>
    <w:rsid w:val="00ED725E"/>
    <w:rPr>
      <w:b/>
      <w:bCs/>
      <w:smallCaps/>
      <w:color w:val="0F4761" w:themeColor="accent1" w:themeShade="BF"/>
      <w:spacing w:val="5"/>
    </w:rPr>
  </w:style>
  <w:style w:type="table" w:styleId="TableGrid">
    <w:name w:val="Table Grid"/>
    <w:basedOn w:val="TableNormal"/>
    <w:uiPriority w:val="39"/>
    <w:rsid w:val="00ED7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725E"/>
    <w:rPr>
      <w:color w:val="467886" w:themeColor="hyperlink"/>
      <w:u w:val="single"/>
    </w:rPr>
  </w:style>
  <w:style w:type="character" w:styleId="UnresolvedMention">
    <w:name w:val="Unresolved Mention"/>
    <w:basedOn w:val="DefaultParagraphFont"/>
    <w:uiPriority w:val="99"/>
    <w:semiHidden/>
    <w:unhideWhenUsed/>
    <w:rsid w:val="00ED725E"/>
    <w:rPr>
      <w:color w:val="605E5C"/>
      <w:shd w:val="clear" w:color="auto" w:fill="E1DFDD"/>
    </w:rPr>
  </w:style>
  <w:style w:type="character" w:styleId="Strong">
    <w:name w:val="Strong"/>
    <w:basedOn w:val="DefaultParagraphFont"/>
    <w:uiPriority w:val="22"/>
    <w:qFormat/>
    <w:rsid w:val="00553A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edium.com/quantumblack/how-we-enabled-agents-at-scale-in-the-enterprise-with-the-agentic-ai-mesh-architecture-baf4290daf4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Sallah Kokaina</dc:creator>
  <cp:keywords/>
  <dc:description/>
  <cp:lastModifiedBy>Sallah Kokaina</cp:lastModifiedBy>
  <cp:revision>2</cp:revision>
  <dcterms:created xsi:type="dcterms:W3CDTF">2025-10-08T21:50:00Z</dcterms:created>
  <dcterms:modified xsi:type="dcterms:W3CDTF">2025-10-08T21:50:00Z</dcterms:modified>
</cp:coreProperties>
</file>