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Elsevier Sans Serif;sans-serif" w:hAnsi="Elsevier Sans Serif;sans-serif"/>
          <w:b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Elsevier Sans Serif;sans-serif" w:hAnsi="Elsevier Sans Serif;sans-serif"/>
          <w:b/>
          <w:i w:val="false"/>
          <w:caps w:val="false"/>
          <w:smallCaps w:val="false"/>
          <w:color w:val="141415"/>
          <w:spacing w:val="0"/>
          <w:sz w:val="24"/>
        </w:rPr>
        <w:t>Highlights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The topology is modified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by rewirings i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n the directed linear chain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1D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case: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no scale-free distribution for the dissipated energy in any regime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1D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case: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there is a transition in the Gini coefficient. 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2D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case: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there is scale free energy dissipated distribution for different topologies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Critical exponent of the energy dissipated changes with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rewirings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Elsevier Sans Serif">
    <w:altName w:val="sans-serif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LibreOffice/7.6.4.1$Linux_X86_64 LibreOffice_project/60$Build-1</Application>
  <AppVersion>15.0000</AppVersion>
  <Pages>1</Pages>
  <Words>60</Words>
  <Characters>311</Characters>
  <CharactersWithSpaces>363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2026-01-29T22:56:04Z</dcterms:created>
  <dc:creator/>
  <dc:description/>
  <dc:language>es-ES</dc:language>
  <cp:lastModifiedBy/>
  <dcterms:modified xsi:type="dcterms:W3CDTF">2026-06-09T12:00:01Z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