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D6" w:rsidRPr="004308D6" w:rsidRDefault="004308D6" w:rsidP="004308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08D6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 </w:t>
      </w:r>
      <w:r w:rsidRPr="004308D6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pt-BR"/>
        </w:rPr>
        <w:t>PLATÃO</w:t>
      </w:r>
    </w:p>
    <w:p w:rsidR="004308D6" w:rsidRPr="004308D6" w:rsidRDefault="004308D6" w:rsidP="00430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8"/>
          <w:szCs w:val="48"/>
          <w:lang w:eastAsia="pt-BR"/>
        </w:rPr>
      </w:pP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(427 - 347 a. C.)</w:t>
      </w:r>
    </w:p>
    <w:p w:rsidR="004308D6" w:rsidRDefault="004308D6" w:rsidP="004308D6">
      <w:pPr>
        <w:spacing w:after="0" w:line="240" w:lineRule="auto"/>
        <w:jc w:val="both"/>
        <w:rPr>
          <w:rFonts w:ascii="Arial" w:eastAsia="Times New Roman" w:hAnsi="Arial" w:cs="Arial"/>
          <w:sz w:val="48"/>
          <w:szCs w:val="48"/>
          <w:lang w:eastAsia="pt-BR"/>
        </w:rPr>
      </w:pPr>
      <w:r w:rsidRPr="004308D6">
        <w:rPr>
          <w:rFonts w:ascii="Arial" w:eastAsia="Times New Roman" w:hAnsi="Arial" w:cs="Arial"/>
          <w:sz w:val="48"/>
          <w:szCs w:val="48"/>
          <w:lang w:eastAsia="pt-BR"/>
        </w:rPr>
        <w:t>Filósofo e matemático grego, provavelmente nascido em Atenas, fundador da Academia Ateniense, onde se reuniam ou para a qual afluíam os principais mestres e pesquisadores da época, entre os quais se destacou seu discípulo mais célebre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Eudoxo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de Cnido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, embora ele próprio não tenha sido um notável criador nesta ciência e sim, um guia e inspirador do seu desenvolvimento, tornando-se conhecido como um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criador de matemáticos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. Escrevendo em grego foi o criador do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platonismo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 xml:space="preserve">, doutrina caracterizada principalmente pela teoria das idéias e dos números e pela preocupação com os temas éticos, com base no conhecimento das verdades essenciais que determinam a realidade visando toda meditação filosófica ao conhecimento do Bem, conhecimento este que supunha suficiente para a 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lastRenderedPageBreak/>
        <w:t>implantação da justiça entre os estados e entre os homens. Seu pensamento foi absorvido pelo cristianismo primitivo, dominando a filosofia cristã antiga e medieval, e, junto com seu mestre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Sócrates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 e o discípulo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Aristóteles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, lançou os alicerces sobre os quais se assentaria as bases de toda a filosofia ocidental. Parece ter iniciado seus estudos filosóficos com o mestre sofista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Crátilo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, seguidor de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Heráclito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, posteriormente conheceu o célebre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Sócrates 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(409 a. C.),do qual se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 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tornou um quase adorador de seu mestre filosófico. Após à morte de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Sócrates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 (399 a. C.), partiu para Mégara, ao encontro de outro discípulo de seu mestre,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Euclides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 xml:space="preserve">. A convite de Dionísio I o Velho, foi a Siracusa, no sul da Itália, onde se relacionou com os pitagóricos. Porém suas doutrinas irritaram o tirano que, ao que parece, mandou vendê-lo como escravo no mercado de Egina, de onde foi resgatado por um cirenaico. </w:t>
      </w:r>
    </w:p>
    <w:p w:rsidR="004308D6" w:rsidRPr="004308D6" w:rsidRDefault="004308D6" w:rsidP="004308D6">
      <w:pPr>
        <w:spacing w:after="0" w:line="240" w:lineRule="auto"/>
        <w:jc w:val="both"/>
        <w:rPr>
          <w:rFonts w:ascii="Arial" w:eastAsia="Times New Roman" w:hAnsi="Arial" w:cs="Arial"/>
          <w:sz w:val="48"/>
          <w:szCs w:val="48"/>
          <w:lang w:eastAsia="pt-BR"/>
        </w:rPr>
      </w:pPr>
      <w:bookmarkStart w:id="0" w:name="_GoBack"/>
      <w:bookmarkEnd w:id="0"/>
      <w:r w:rsidRPr="004308D6">
        <w:rPr>
          <w:rFonts w:ascii="Arial" w:eastAsia="Times New Roman" w:hAnsi="Arial" w:cs="Arial"/>
          <w:sz w:val="48"/>
          <w:szCs w:val="48"/>
          <w:lang w:eastAsia="pt-BR"/>
        </w:rPr>
        <w:lastRenderedPageBreak/>
        <w:t>Em sua época a matemática grega passou por drásticas modificações, surgindo também a álgebra geométrica no lugar da álgebra aritmética, surgindo a homogeneidade das equações, ou seja, a soma de seguimentos só com seguimentos, volume só com volume, etc. A ele se deve o fato da matemática ter-se tornado uma disciplina essencial para a educação dos homens. Ao quadrivium de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Arquitas 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acrescentou a estereometria, pois achava que até então a geometria dos sólidos não tivera a ênfase necessária. Da sua escola devem-se algumas definições interessantes como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o ponto é o início de uma reta e esta é um comprimento sem largura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 xml:space="preserve">, a distinção entre números pares e ímpares e suas operações entre si, etc. Era revoltado com a utilização de instrumentos (compassos, réguas, etc.) no desenho de figuras, pois tudo deveria ser definido através de equações. Seus trinta e seis trabalhos divididos em nove tetralogias 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lastRenderedPageBreak/>
        <w:t>nos chegaram até hoje via o famoso gramático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Trisilo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. Entre suas principais obras citam-se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Timaeus 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(sobre sólidos regulares),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Republica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 (sobre aritmética),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Phaedo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 (sobre as últimas horas de Sócrates),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Leis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(sobre cidadania) e </w:t>
      </w:r>
      <w:r w:rsidRPr="004308D6">
        <w:rPr>
          <w:rFonts w:ascii="Arial" w:eastAsia="Times New Roman" w:hAnsi="Arial" w:cs="Arial"/>
          <w:i/>
          <w:iCs/>
          <w:sz w:val="48"/>
          <w:szCs w:val="48"/>
          <w:lang w:eastAsia="pt-BR"/>
        </w:rPr>
        <w:t>Teaetetus 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(sobre a obra deste). Foi um dos filósofos mais influentes de todos os tempos e seus ideais estéticos e humanistas do Renascimento constituíram também uma recuperação do platonismo. Há elementos platônicos também em pensadores modernos, como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Leibniz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 e 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Hegel</w:t>
      </w:r>
      <w:r w:rsidRPr="004308D6">
        <w:rPr>
          <w:rFonts w:ascii="Arial" w:eastAsia="Times New Roman" w:hAnsi="Arial" w:cs="Arial"/>
          <w:sz w:val="48"/>
          <w:szCs w:val="48"/>
          <w:lang w:eastAsia="pt-BR"/>
        </w:rPr>
        <w:t>.</w:t>
      </w:r>
    </w:p>
    <w:p w:rsidR="004308D6" w:rsidRPr="004308D6" w:rsidRDefault="004308D6" w:rsidP="00430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8"/>
          <w:szCs w:val="48"/>
          <w:lang w:eastAsia="pt-BR"/>
        </w:rPr>
      </w:pP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(Fonte: Site </w:t>
      </w:r>
      <w:r w:rsidRPr="004308D6">
        <w:rPr>
          <w:rFonts w:ascii="Arial" w:eastAsia="Times New Roman" w:hAnsi="Arial" w:cs="Arial"/>
          <w:b/>
          <w:bCs/>
          <w:sz w:val="48"/>
          <w:szCs w:val="48"/>
          <w:u w:val="single"/>
          <w:lang w:eastAsia="pt-BR"/>
        </w:rPr>
        <w:t>Só Biografias</w:t>
      </w:r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 : </w:t>
      </w:r>
      <w:hyperlink r:id="rId5" w:history="1">
        <w:r w:rsidRPr="004308D6">
          <w:rPr>
            <w:rFonts w:ascii="Arial" w:eastAsia="Times New Roman" w:hAnsi="Arial" w:cs="Arial"/>
            <w:b/>
            <w:bCs/>
            <w:color w:val="0000FF"/>
            <w:sz w:val="48"/>
            <w:szCs w:val="48"/>
            <w:u w:val="single"/>
            <w:lang w:eastAsia="pt-BR"/>
          </w:rPr>
          <w:t>http://www.sobiografias.hpg.com.br</w:t>
        </w:r>
      </w:hyperlink>
      <w:r w:rsidRPr="004308D6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 )</w:t>
      </w:r>
    </w:p>
    <w:p w:rsidR="00D0022A" w:rsidRPr="004308D6" w:rsidRDefault="00D0022A" w:rsidP="004308D6">
      <w:pPr>
        <w:jc w:val="both"/>
        <w:rPr>
          <w:rFonts w:ascii="Arial" w:hAnsi="Arial" w:cs="Arial"/>
          <w:sz w:val="48"/>
          <w:szCs w:val="48"/>
        </w:rPr>
      </w:pPr>
    </w:p>
    <w:sectPr w:rsidR="00D0022A" w:rsidRPr="0043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D6"/>
    <w:rsid w:val="004308D6"/>
    <w:rsid w:val="00D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08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biografias.hpg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</cp:revision>
  <dcterms:created xsi:type="dcterms:W3CDTF">2017-11-20T18:41:00Z</dcterms:created>
  <dcterms:modified xsi:type="dcterms:W3CDTF">2017-11-20T18:48:00Z</dcterms:modified>
</cp:coreProperties>
</file>