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comments.xml" ContentType="application/vnd.openxmlformats-officedocument.wordprocessingml.comment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notes.xml" ContentType="application/vnd.openxmlformats-officedocument.wordprocessingml.footnote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1" Type="http://schemas.openxmlformats.org/officeDocument/2006/relationships/officeDocument" Target="word/document.xml"/><Relationship Id="rId4" Type="http://schemas.openxmlformats.org/officeDocument/2006/relationships/extended-properties" Target="docProps/app.xml"/><Relationship Id="rId3" Type="http://schemas.openxmlformats.org/package/2006/relationships/metadata/core-properties" Target="docProps/core.xml"/><Relationship Id="rId5" Type="http://schemas.openxmlformats.org/officeDocument/2006/relationships/custom-properties" Target="docProps/custom.xml"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bookmarkStart w:id="41" w:name="تقرير-تحليل-اختبار-الاختراق"/>
    <w:p>
      <w:pPr>
        <w:pStyle w:val="Heading1"/>
        <w:bidi w:val="1"/>
        <w:jc w:val="right"/>
      </w:pPr>
      <w:r>
        <w:t xml:space="preserve">تقرير تحليل اختبار الاختراق</w:t>
      </w:r>
    </w:p>
    <w:bookmarkStart w:id="20" w:name="بوابة-المراجعين-المرور-العراقي"/>
    <w:p>
      <w:pPr>
        <w:pStyle w:val="Heading2"/>
        <w:bidi w:val="1"/>
        <w:jc w:val="right"/>
      </w:pPr>
      <w:r>
        <w:t xml:space="preserve">بوابة المراجعين — المرور العراقي</w:t>
      </w:r>
    </w:p>
    <w:tbl>
      <w:tblPr>
        <w:tblStyle w:val="Table"/>
        <w:tblW w:type="auto" w:w="0"/>
        <w:tblLook w:firstRow="1" w:lastRow="0" w:firstColumn="0" w:lastColumn="0" w:noHBand="0" w:noVBand="0" w:val="0020"/>
        <w:jc w:val="start"/>
      </w:tblPr>
      <w:tblGrid>
        <w:gridCol w:w="3960"/>
        <w:gridCol w:w="3960"/>
      </w:tblGrid>
      <w:tr>
        <w:trPr>
          <w:tblHeader w:val="true"/>
        </w:trPr>
        <w:tc>
          <w:tcPr/>
          <w:p>
            <w:pPr>
              <w:pStyle w:val="Compact"/>
              <w:jc w:val="left"/>
              <w:bidi w:val="1"/>
              <w:jc w:val="right"/>
            </w:pPr>
            <w:r>
              <w:t xml:space="preserve">البند</w:t>
            </w:r>
          </w:p>
        </w:tc>
        <w:tc>
          <w:tcPr/>
          <w:p>
            <w:pPr>
              <w:pStyle w:val="Compact"/>
              <w:jc w:val="left"/>
              <w:bidi w:val="1"/>
              <w:jc w:val="right"/>
            </w:pPr>
            <w:r>
              <w:t xml:space="preserve">القيمة</w:t>
            </w:r>
          </w:p>
        </w:tc>
      </w:tr>
      <w:tr>
        <w:tc>
          <w:tcPr/>
          <w:p>
            <w:pPr>
              <w:pStyle w:val="Compact"/>
              <w:jc w:val="left"/>
              <w:bidi w:val="1"/>
              <w:jc w:val="right"/>
            </w:pPr>
            <w:r>
              <w:rPr>
                <w:bCs/>
                <w:b/>
              </w:rPr>
              <w:t xml:space="preserve">الموقع المختبر</w:t>
            </w:r>
          </w:p>
        </w:tc>
        <w:tc>
          <w:tcPr/>
          <w:p>
            <w:pPr>
              <w:pStyle w:val="Compact"/>
              <w:jc w:val="left"/>
              <w:bidi w:val="1"/>
              <w:jc w:val="right"/>
            </w:pPr>
            <w:r>
              <w:rPr>
                <w:rStyle w:val="VerbatimChar"/>
              </w:rPr>
              <w:t xml:space="preserve">applicants.itp.moi.gov.iq</w:t>
            </w:r>
          </w:p>
        </w:tc>
      </w:tr>
      <w:tr>
        <w:tc>
          <w:tcPr/>
          <w:p>
            <w:pPr>
              <w:pStyle w:val="Compact"/>
              <w:jc w:val="left"/>
              <w:bidi w:val="1"/>
              <w:jc w:val="right"/>
            </w:pPr>
            <w:r>
              <w:rPr>
                <w:bCs/>
                <w:b/>
              </w:rPr>
              <w:t xml:space="preserve">البروتوكول / المنفذ</w:t>
            </w:r>
          </w:p>
        </w:tc>
        <w:tc>
          <w:tcPr/>
          <w:p>
            <w:pPr>
              <w:pStyle w:val="Compact"/>
              <w:jc w:val="left"/>
              <w:bidi w:val="1"/>
              <w:jc w:val="right"/>
            </w:pPr>
            <w:r>
              <w:t xml:space="preserve">HTTPS — 443</w:t>
            </w:r>
          </w:p>
        </w:tc>
      </w:tr>
      <w:tr>
        <w:tc>
          <w:tcPr/>
          <w:p>
            <w:pPr>
              <w:pStyle w:val="Compact"/>
              <w:jc w:val="left"/>
              <w:bidi w:val="1"/>
              <w:jc w:val="right"/>
            </w:pPr>
            <w:r>
              <w:rPr>
                <w:bCs/>
                <w:b/>
              </w:rPr>
              <w:t xml:space="preserve">تاريخ الاختبار</w:t>
            </w:r>
          </w:p>
        </w:tc>
        <w:tc>
          <w:tcPr/>
          <w:p>
            <w:pPr>
              <w:pStyle w:val="Compact"/>
              <w:jc w:val="left"/>
              <w:bidi w:val="1"/>
              <w:jc w:val="right"/>
            </w:pPr>
            <w:r>
              <w:t xml:space="preserve">13/8/2026</w:t>
            </w:r>
          </w:p>
        </w:tc>
      </w:tr>
      <w:tr>
        <w:tc>
          <w:tcPr/>
          <w:p>
            <w:pPr>
              <w:pStyle w:val="Compact"/>
              <w:jc w:val="left"/>
              <w:bidi w:val="1"/>
              <w:jc w:val="right"/>
            </w:pPr>
            <w:r>
              <w:rPr>
                <w:bCs/>
                <w:b/>
              </w:rPr>
              <w:t xml:space="preserve">التصنيف العام</w:t>
            </w:r>
          </w:p>
        </w:tc>
        <w:tc>
          <w:tcPr/>
          <w:p>
            <w:pPr>
              <w:pStyle w:val="Compact"/>
              <w:jc w:val="left"/>
              <w:bidi w:val="1"/>
              <w:jc w:val="right"/>
            </w:pPr>
            <w:r>
              <w:rPr>
                <w:bCs/>
                <w:b/>
              </w:rPr>
              <w:t xml:space="preserve">حرج (Critical)</w:t>
            </w:r>
          </w:p>
        </w:tc>
      </w:tr>
      <w:tr>
        <w:tc>
          <w:tcPr/>
          <w:p>
            <w:pPr>
              <w:pStyle w:val="Compact"/>
              <w:jc w:val="left"/>
              <w:bidi w:val="1"/>
              <w:jc w:val="right"/>
            </w:pPr>
            <w:r>
              <w:rPr>
                <w:bCs/>
                <w:b/>
              </w:rPr>
              <w:t xml:space="preserve">عدد الثغرات الحرجة</w:t>
            </w:r>
          </w:p>
        </w:tc>
        <w:tc>
          <w:tcPr/>
          <w:p>
            <w:pPr>
              <w:pStyle w:val="Compact"/>
              <w:jc w:val="left"/>
              <w:bidi w:val="1"/>
              <w:jc w:val="right"/>
            </w:pPr>
            <w:r>
              <w:t xml:space="preserve">2 (مرتبطتان بسلسلة هجوم واحدة)</w:t>
            </w:r>
          </w:p>
        </w:tc>
      </w:tr>
    </w:tbl>
    <w:p>
      <w:pPr>
        <w:bidi w:val="1"/>
        <w:jc w:val="right"/>
      </w:pPr>
      <w:r>
        <w:pict>
          <v:rect style="width:0;height:1.5pt" o:hralign="center" o:hrstd="t" o:hr="t"/>
        </w:pict>
      </w:r>
    </w:p>
    <w:bookmarkEnd w:id="20"/>
    <w:bookmarkStart w:id="21" w:name="الملخص-التنفيذي"/>
    <w:p>
      <w:pPr>
        <w:pStyle w:val="Heading2"/>
        <w:bidi w:val="1"/>
        <w:jc w:val="right"/>
      </w:pPr>
      <w:r>
        <w:t xml:space="preserve">1. الملخص التنفيذي</w:t>
      </w:r>
    </w:p>
    <w:p>
      <w:pPr>
        <w:pStyle w:val="FirstParagraph"/>
        <w:bidi w:val="1"/>
        <w:jc w:val="right"/>
      </w:pPr>
      <w:r>
        <w:t xml:space="preserve">أظهر تقييم الأمان لبوابة المراجعين التابعة للمرور العراقي وجود</w:t>
      </w:r>
      <w:r>
        <w:t xml:space="preserve"> </w:t>
      </w:r>
      <w:r>
        <w:rPr>
          <w:bCs/>
          <w:b/>
        </w:rPr>
        <w:t xml:space="preserve">ثغرات أمنية حرجة</w:t>
      </w:r>
      <w:r>
        <w:t xml:space="preserve"> </w:t>
      </w:r>
      <w:r>
        <w:t xml:space="preserve">تؤثر مباشرة على سرية بيانات المواطنين وعزل حساباتهم. يستطيع أي مهاجم على الإنترنت — دون صلاحيات إدارية — إنشاء حساب، تسجيل الدخول، ثم</w:t>
      </w:r>
      <w:r>
        <w:t xml:space="preserve"> </w:t>
      </w:r>
      <w:r>
        <w:rPr>
          <w:bCs/>
          <w:b/>
        </w:rPr>
        <w:t xml:space="preserve">قراءة بيانات مواطنين آخرين</w:t>
      </w:r>
      <w:r>
        <w:t xml:space="preserve"> </w:t>
      </w:r>
      <w:r>
        <w:t xml:space="preserve">تشمل الأسماء وأرقام الهواتف ومعلومات الطلبات وأرقام المركبات.</w:t>
      </w:r>
    </w:p>
    <w:p>
      <w:pPr>
        <w:pStyle w:val="BodyText"/>
        <w:bidi w:val="1"/>
        <w:jc w:val="right"/>
      </w:pPr>
      <w:r>
        <w:rPr>
          <w:bCs/>
          <w:b/>
        </w:rPr>
        <w:t xml:space="preserve">السبب الجذري:</w:t>
      </w:r>
      <w:r>
        <w:t xml:space="preserve"> </w:t>
      </w:r>
      <w:r>
        <w:t xml:space="preserve">تعديل رأس</w:t>
      </w:r>
      <w:r>
        <w:t xml:space="preserve"> </w:t>
      </w:r>
      <w:r>
        <w:rPr>
          <w:rStyle w:val="VerbatimChar"/>
        </w:rPr>
        <w:t xml:space="preserve">Host</w:t>
      </w:r>
      <w:r>
        <w:t xml:space="preserve"> </w:t>
      </w:r>
      <w:r>
        <w:t xml:space="preserve">في طلب HTTP للوصول إلى خوادم Backend داخلية (</w:t>
      </w:r>
      <w:r>
        <w:rPr>
          <w:rStyle w:val="VerbatimChar"/>
        </w:rPr>
        <w:t xml:space="preserve">prod-bapplicants.itpmoi-prod.local</w:t>
      </w:r>
      <w:r>
        <w:t xml:space="preserve">) عبر المضيف العام (</w:t>
      </w:r>
      <w:r>
        <w:rPr>
          <w:rStyle w:val="VerbatimChar"/>
        </w:rPr>
        <w:t xml:space="preserve">beapplicants.itp.moi.gov.iq</w:t>
      </w:r>
      <w:r>
        <w:t xml:space="preserve">) دون رفض من الخادم، يليه</w:t>
      </w:r>
      <w:r>
        <w:t xml:space="preserve"> </w:t>
      </w:r>
      <w:r>
        <w:rPr>
          <w:bCs/>
          <w:b/>
        </w:rPr>
        <w:t xml:space="preserve">فشل في التحقق من الصلاحيات</w:t>
      </w:r>
      <w:r>
        <w:t xml:space="preserve"> </w:t>
      </w:r>
      <w:r>
        <w:t xml:space="preserve">على مستوى البيانات (Broken Access Control و IDOR).</w:t>
      </w:r>
    </w:p>
    <w:p>
      <w:pPr>
        <w:pStyle w:val="BodyText"/>
        <w:bidi w:val="1"/>
        <w:jc w:val="right"/>
      </w:pPr>
      <w:r>
        <w:rPr>
          <w:bCs/>
          <w:b/>
        </w:rPr>
        <w:t xml:space="preserve">التوصية الإدارية:</w:t>
      </w:r>
      <w:r>
        <w:t xml:space="preserve"> </w:t>
      </w:r>
      <w:r>
        <w:t xml:space="preserve">معاملة النتائج كحادث أمني</w:t>
      </w:r>
      <w:r>
        <w:t xml:space="preserve"> </w:t>
      </w:r>
      <w:r>
        <w:rPr>
          <w:bCs/>
          <w:b/>
        </w:rPr>
        <w:t xml:space="preserve">P0</w:t>
      </w:r>
      <w:r>
        <w:t xml:space="preserve"> </w:t>
      </w:r>
      <w:r>
        <w:t xml:space="preserve">يتطلب تدخلاً فورياً من فريق البنية التحتية وفريق التطبيق معاً، ثم إعادة اختبار شامل قبل إعلان إغلاق الحادث.</w:t>
      </w:r>
    </w:p>
    <w:p>
      <w:pPr>
        <w:bidi w:val="1"/>
        <w:jc w:val="right"/>
      </w:pPr>
      <w:r>
        <w:pict>
          <v:rect style="width:0;height:1.5pt" o:hralign="center" o:hrstd="t" o:hr="t"/>
        </w:pict>
      </w:r>
    </w:p>
    <w:bookmarkEnd w:id="21"/>
    <w:bookmarkStart w:id="24" w:name="الثغرات-المكتشفة"/>
    <w:p>
      <w:pPr>
        <w:pStyle w:val="Heading2"/>
        <w:bidi w:val="1"/>
        <w:jc w:val="right"/>
      </w:pPr>
      <w:r>
        <w:t xml:space="preserve">2. الثغرات المكتشفة</w:t>
      </w:r>
    </w:p>
    <w:bookmarkStart w:id="22" w:name="X7fdc8c75eb7c20f66af74d8ce67a5cab26c0e15"/>
    <w:p>
      <w:pPr>
        <w:pStyle w:val="Heading3"/>
        <w:bidi w:val="1"/>
        <w:jc w:val="right"/>
      </w:pPr>
      <w:r>
        <w:t xml:space="preserve">2.1 تعديل رأس Host وكسر التحكم بالوصول (Critical)</w:t>
      </w:r>
    </w:p>
    <w:tbl>
      <w:tblPr>
        <w:tblStyle w:val="Table"/>
        <w:tblW w:type="pct" w:w="5000"/>
        <w:tblLook w:firstRow="1" w:lastRow="0" w:firstColumn="0" w:lastColumn="0" w:noHBand="0" w:noVBand="0" w:val="0020"/>
        <w:jc w:val="start"/>
      </w:tblPr>
      <w:tblGrid>
        <w:gridCol w:w="3261"/>
        <w:gridCol w:w="4658"/>
      </w:tblGrid>
      <w:tr>
        <w:trPr>
          <w:tblHeader w:val="true"/>
        </w:trPr>
        <w:tc>
          <w:tcPr/>
          <w:p>
            <w:pPr>
              <w:pStyle w:val="Compact"/>
              <w:jc w:val="left"/>
              <w:bidi w:val="1"/>
              <w:jc w:val="right"/>
            </w:pPr>
            <w:r>
              <w:t xml:space="preserve">البند</w:t>
            </w:r>
          </w:p>
        </w:tc>
        <w:tc>
          <w:tcPr/>
          <w:p>
            <w:pPr>
              <w:pStyle w:val="Compact"/>
              <w:jc w:val="left"/>
              <w:bidi w:val="1"/>
              <w:jc w:val="right"/>
            </w:pPr>
            <w:r>
              <w:t xml:space="preserve">التفاصيل</w:t>
            </w:r>
          </w:p>
        </w:tc>
      </w:tr>
      <w:tr>
        <w:tc>
          <w:tcPr/>
          <w:p>
            <w:pPr>
              <w:pStyle w:val="Compact"/>
              <w:jc w:val="left"/>
              <w:bidi w:val="1"/>
              <w:jc w:val="right"/>
            </w:pPr>
            <w:r>
              <w:rPr>
                <w:bCs/>
                <w:b/>
              </w:rPr>
              <w:t xml:space="preserve">الاسم</w:t>
            </w:r>
          </w:p>
        </w:tc>
        <w:tc>
          <w:tcPr/>
          <w:p>
            <w:pPr>
              <w:pStyle w:val="Compact"/>
              <w:jc w:val="left"/>
              <w:bidi w:val="1"/>
              <w:jc w:val="right"/>
            </w:pPr>
            <w:r>
              <w:t xml:space="preserve">Host Header Manipulation and Broken Access Control — Unauthorized Access to Applicants’ Data</w:t>
            </w:r>
          </w:p>
        </w:tc>
      </w:tr>
      <w:tr>
        <w:tc>
          <w:tcPr/>
          <w:p>
            <w:pPr>
              <w:pStyle w:val="Compact"/>
              <w:jc w:val="left"/>
              <w:bidi w:val="1"/>
              <w:jc w:val="right"/>
            </w:pPr>
            <w:r>
              <w:rPr>
                <w:bCs/>
                <w:b/>
              </w:rPr>
              <w:t xml:space="preserve">OWASP</w:t>
            </w:r>
          </w:p>
        </w:tc>
        <w:tc>
          <w:tcPr/>
          <w:p>
            <w:pPr>
              <w:pStyle w:val="Compact"/>
              <w:jc w:val="left"/>
              <w:bidi w:val="1"/>
              <w:jc w:val="right"/>
            </w:pPr>
            <w:r>
              <w:t xml:space="preserve">A05:2021 Security Misconfiguration · A01:2021 Broken Access Control</w:t>
            </w:r>
          </w:p>
        </w:tc>
      </w:tr>
      <w:tr>
        <w:tc>
          <w:tcPr/>
          <w:p>
            <w:pPr>
              <w:pStyle w:val="Compact"/>
              <w:jc w:val="left"/>
              <w:bidi w:val="1"/>
              <w:jc w:val="right"/>
            </w:pPr>
            <w:r>
              <w:rPr>
                <w:bCs/>
                <w:b/>
              </w:rPr>
              <w:t xml:space="preserve">CVSS تقديري</w:t>
            </w:r>
          </w:p>
        </w:tc>
        <w:tc>
          <w:tcPr/>
          <w:p>
            <w:pPr>
              <w:pStyle w:val="Compact"/>
              <w:jc w:val="left"/>
              <w:bidi w:val="1"/>
              <w:jc w:val="right"/>
            </w:pPr>
            <w:r>
              <w:t xml:space="preserve">9.0 – 9.8</w:t>
            </w:r>
          </w:p>
        </w:tc>
      </w:tr>
    </w:tbl>
    <w:p>
      <w:pPr>
        <w:pStyle w:val="BodyText"/>
        <w:bidi w:val="1"/>
        <w:jc w:val="right"/>
      </w:pPr>
      <w:r>
        <w:rPr>
          <w:bCs/>
          <w:b/>
        </w:rPr>
        <w:t xml:space="preserve">الوصف:</w:t>
      </w:r>
      <w:r>
        <w:t xml:space="preserve"> </w:t>
      </w:r>
      <w:r>
        <w:t xml:space="preserve">النظام يوجّه الطلبات داخلياً إلى</w:t>
      </w:r>
      <w:r>
        <w:t xml:space="preserve"> </w:t>
      </w:r>
      <w:r>
        <w:rPr>
          <w:rStyle w:val="VerbatimChar"/>
        </w:rPr>
        <w:t xml:space="preserve">prod-bapplicants.itpmoi-prod.local</w:t>
      </w:r>
      <w:r>
        <w:t xml:space="preserve">، لكن تغيير قيمة</w:t>
      </w:r>
      <w:r>
        <w:t xml:space="preserve"> </w:t>
      </w:r>
      <w:r>
        <w:rPr>
          <w:rStyle w:val="VerbatimChar"/>
        </w:rPr>
        <w:t xml:space="preserve">Host</w:t>
      </w:r>
      <w:r>
        <w:t xml:space="preserve"> </w:t>
      </w:r>
      <w:r>
        <w:t xml:space="preserve">إلى</w:t>
      </w:r>
      <w:r>
        <w:t xml:space="preserve"> </w:t>
      </w:r>
      <w:r>
        <w:rPr>
          <w:rStyle w:val="VerbatimChar"/>
        </w:rPr>
        <w:t xml:space="preserve">beapplicants.itp.moi.gov.iq</w:t>
      </w:r>
      <w:r>
        <w:t xml:space="preserve"> </w:t>
      </w:r>
      <w:r>
        <w:t xml:space="preserve">يسمح بالوصول إلى واجهات Backend للتسجيل والمصادقة. الخادم يعالج الطلبات دون رفضها، فيُنشأ حساب Applicant جديد ويُحصل على JWT صالح، ثم يُستخدم لاسترجاع سجلات تخص مستخدمين آخرين.</w:t>
      </w:r>
    </w:p>
    <w:p>
      <w:pPr>
        <w:pStyle w:val="BodyText"/>
        <w:bidi w:val="1"/>
        <w:jc w:val="right"/>
      </w:pPr>
      <w:r>
        <w:rPr>
          <w:bCs/>
          <w:b/>
        </w:rPr>
        <w:t xml:space="preserve">نقاط النهاية المتأثرة:</w:t>
      </w:r>
    </w:p>
    <w:p>
      <w:pPr>
        <w:numPr>
          <w:ilvl w:val="0"/>
          <w:numId w:val="1001"/>
        </w:numPr>
        <w:pStyle w:val="Compact"/>
        <w:bidi w:val="1"/>
        <w:jc w:val="right"/>
      </w:pPr>
      <w:r>
        <w:t xml:space="preserve">POST /api/applicant/v1/auth/confirm-phone-number-send-otp</w:t>
      </w:r>
    </w:p>
    <w:p>
      <w:pPr>
        <w:numPr>
          <w:ilvl w:val="0"/>
          <w:numId w:val="1001"/>
        </w:numPr>
        <w:pStyle w:val="Compact"/>
        <w:bidi w:val="1"/>
        <w:jc w:val="right"/>
      </w:pPr>
      <w:r>
        <w:t xml:space="preserve">POST /api/applicant/v1/auth/signup</w:t>
      </w:r>
    </w:p>
    <w:p>
      <w:pPr>
        <w:numPr>
          <w:ilvl w:val="0"/>
          <w:numId w:val="1001"/>
        </w:numPr>
        <w:pStyle w:val="Compact"/>
        <w:bidi w:val="1"/>
        <w:jc w:val="right"/>
      </w:pPr>
      <w:r>
        <w:t xml:space="preserve">POST /api/applicant/v1/auth/login</w:t>
      </w:r>
    </w:p>
    <w:p>
      <w:pPr>
        <w:numPr>
          <w:ilvl w:val="0"/>
          <w:numId w:val="1001"/>
        </w:numPr>
        <w:pStyle w:val="Compact"/>
        <w:bidi w:val="1"/>
        <w:jc w:val="right"/>
      </w:pPr>
      <w:r>
        <w:t xml:space="preserve">POST /api/applicant/v1/registrations/search</w:t>
      </w:r>
    </w:p>
    <w:p>
      <w:pPr>
        <w:numPr>
          <w:ilvl w:val="0"/>
          <w:numId w:val="1001"/>
        </w:numPr>
        <w:pStyle w:val="Compact"/>
        <w:bidi w:val="1"/>
        <w:jc w:val="right"/>
      </w:pPr>
      <w:r>
        <w:t xml:space="preserve">GET /api/applicant/v1/requests/{requestId}</w:t>
      </w:r>
    </w:p>
    <w:p>
      <w:pPr>
        <w:pStyle w:val="FirstParagraph"/>
        <w:bidi w:val="1"/>
        <w:jc w:val="right"/>
      </w:pPr>
      <w:r>
        <w:rPr>
          <w:bCs/>
          <w:b/>
        </w:rPr>
        <w:t xml:space="preserve">التأثير:</w:t>
      </w:r>
    </w:p>
    <w:p>
      <w:pPr>
        <w:numPr>
          <w:ilvl w:val="0"/>
          <w:numId w:val="1002"/>
        </w:numPr>
        <w:pStyle w:val="Compact"/>
        <w:bidi w:val="1"/>
        <w:jc w:val="right"/>
      </w:pPr>
      <w:r>
        <w:t xml:space="preserve">كشف بيانات شخصية (أسماء، أرقام هواتف) لمواطنين آخرين</w:t>
      </w:r>
    </w:p>
    <w:p>
      <w:pPr>
        <w:numPr>
          <w:ilvl w:val="0"/>
          <w:numId w:val="1002"/>
        </w:numPr>
        <w:pStyle w:val="Compact"/>
        <w:bidi w:val="1"/>
        <w:jc w:val="right"/>
      </w:pPr>
      <w:r>
        <w:t xml:space="preserve">كشف معلومات المركبات (أرقام لوحات وبيانات تسجيل)</w:t>
      </w:r>
    </w:p>
    <w:bookmarkEnd w:id="22"/>
    <w:bookmarkStart w:id="23" w:name="X0097893b5a8c499e121f77b9a7f29f9383fc7a9"/>
    <w:p>
      <w:pPr>
        <w:pStyle w:val="Heading3"/>
        <w:bidi w:val="1"/>
        <w:jc w:val="right"/>
      </w:pPr>
      <w:r>
        <w:t xml:space="preserve">2.2 الوصول غير المصرّح به لطلبات مواطنين آخرين — IDOR (Critical)</w:t>
      </w:r>
    </w:p>
    <w:tbl>
      <w:tblPr>
        <w:tblStyle w:val="Table"/>
        <w:tblW w:type="auto" w:w="0"/>
        <w:tblLook w:firstRow="1" w:lastRow="0" w:firstColumn="0" w:lastColumn="0" w:noHBand="0" w:noVBand="0" w:val="0020"/>
        <w:jc w:val="start"/>
      </w:tblPr>
      <w:tblGrid>
        <w:gridCol w:w="3960"/>
        <w:gridCol w:w="3960"/>
      </w:tblGrid>
      <w:tr>
        <w:trPr>
          <w:tblHeader w:val="true"/>
        </w:trPr>
        <w:tc>
          <w:tcPr/>
          <w:p>
            <w:pPr>
              <w:pStyle w:val="Compact"/>
              <w:jc w:val="left"/>
              <w:bidi w:val="1"/>
              <w:jc w:val="right"/>
            </w:pPr>
            <w:r>
              <w:t xml:space="preserve">البند</w:t>
            </w:r>
          </w:p>
        </w:tc>
        <w:tc>
          <w:tcPr/>
          <w:p>
            <w:pPr>
              <w:pStyle w:val="Compact"/>
              <w:jc w:val="left"/>
              <w:bidi w:val="1"/>
              <w:jc w:val="right"/>
            </w:pPr>
            <w:r>
              <w:t xml:space="preserve">التفاصيل</w:t>
            </w:r>
          </w:p>
        </w:tc>
      </w:tr>
      <w:tr>
        <w:tc>
          <w:tcPr/>
          <w:p>
            <w:pPr>
              <w:pStyle w:val="Compact"/>
              <w:jc w:val="left"/>
              <w:bidi w:val="1"/>
              <w:jc w:val="right"/>
            </w:pPr>
            <w:r>
              <w:rPr>
                <w:bCs/>
                <w:b/>
              </w:rPr>
              <w:t xml:space="preserve">الاسم</w:t>
            </w:r>
          </w:p>
        </w:tc>
        <w:tc>
          <w:tcPr/>
          <w:p>
            <w:pPr>
              <w:pStyle w:val="Compact"/>
              <w:jc w:val="left"/>
              <w:bidi w:val="1"/>
              <w:jc w:val="right"/>
            </w:pPr>
            <w:r>
              <w:t xml:space="preserve">Unauthorized Access to Other Applicants’ Requests</w:t>
            </w:r>
          </w:p>
        </w:tc>
      </w:tr>
      <w:tr>
        <w:tc>
          <w:tcPr/>
          <w:p>
            <w:pPr>
              <w:pStyle w:val="Compact"/>
              <w:jc w:val="left"/>
              <w:bidi w:val="1"/>
              <w:jc w:val="right"/>
            </w:pPr>
            <w:r>
              <w:rPr>
                <w:bCs/>
                <w:b/>
              </w:rPr>
              <w:t xml:space="preserve">OWASP</w:t>
            </w:r>
          </w:p>
        </w:tc>
        <w:tc>
          <w:tcPr/>
          <w:p>
            <w:pPr>
              <w:pStyle w:val="Compact"/>
              <w:jc w:val="left"/>
              <w:bidi w:val="1"/>
              <w:jc w:val="right"/>
            </w:pPr>
            <w:r>
              <w:t xml:space="preserve">A01:2021 Broken Access Control</w:t>
            </w:r>
          </w:p>
        </w:tc>
      </w:tr>
      <w:tr>
        <w:tc>
          <w:tcPr/>
          <w:p>
            <w:pPr>
              <w:pStyle w:val="Compact"/>
              <w:jc w:val="left"/>
              <w:bidi w:val="1"/>
              <w:jc w:val="right"/>
            </w:pPr>
            <w:r>
              <w:rPr>
                <w:bCs/>
                <w:b/>
              </w:rPr>
              <w:t xml:space="preserve">CVSS تقديري</w:t>
            </w:r>
          </w:p>
        </w:tc>
        <w:tc>
          <w:tcPr/>
          <w:p>
            <w:pPr>
              <w:pStyle w:val="Compact"/>
              <w:jc w:val="left"/>
              <w:bidi w:val="1"/>
              <w:jc w:val="right"/>
            </w:pPr>
            <w:r>
              <w:t xml:space="preserve">9.0 – 9.8</w:t>
            </w:r>
          </w:p>
        </w:tc>
      </w:tr>
    </w:tbl>
    <w:p>
      <w:pPr>
        <w:pStyle w:val="BodyText"/>
        <w:bidi w:val="1"/>
        <w:jc w:val="right"/>
      </w:pPr>
      <w:r>
        <w:rPr>
          <w:bCs/>
          <w:b/>
        </w:rPr>
        <w:t xml:space="preserve">الوصف:</w:t>
      </w:r>
      <w:r>
        <w:t xml:space="preserve"> </w:t>
      </w:r>
      <w:r>
        <w:t xml:space="preserve">تمرير</w:t>
      </w:r>
      <w:r>
        <w:t xml:space="preserve"> </w:t>
      </w:r>
      <w:r>
        <w:rPr>
          <w:rStyle w:val="VerbatimChar"/>
        </w:rPr>
        <w:t xml:space="preserve">requestId</w:t>
      </w:r>
      <w:r>
        <w:t xml:space="preserve"> </w:t>
      </w:r>
      <w:r>
        <w:t xml:space="preserve">مختلف إلى</w:t>
      </w:r>
      <w:r>
        <w:t xml:space="preserve"> </w:t>
      </w:r>
      <w:r>
        <w:rPr>
          <w:rStyle w:val="VerbatimChar"/>
        </w:rPr>
        <w:t xml:space="preserve">GET /api/applicant/v1/requests/{requestId}</w:t>
      </w:r>
      <w:r>
        <w:t xml:space="preserve"> </w:t>
      </w:r>
      <w:r>
        <w:t xml:space="preserve">يُرجع تفاصيل طلبات مواطنين آخرين دون التحقق من أن الطلب يعود للمستخدم الحالي. كذلك</w:t>
      </w:r>
      <w:r>
        <w:t xml:space="preserve"> </w:t>
      </w:r>
      <w:r>
        <w:rPr>
          <w:rStyle w:val="VerbatimChar"/>
        </w:rPr>
        <w:t xml:space="preserve">POST /api/applicant/v1/registrations/search</w:t>
      </w:r>
      <w:r>
        <w:t xml:space="preserve"> </w:t>
      </w:r>
      <w:r>
        <w:t xml:space="preserve">مع body</w:t>
      </w:r>
      <w:r>
        <w:t xml:space="preserve"> </w:t>
      </w:r>
      <w:r>
        <w:rPr>
          <w:rStyle w:val="VerbatimChar"/>
        </w:rPr>
        <w:t xml:space="preserve">{}</w:t>
      </w:r>
      <w:r>
        <w:t xml:space="preserve"> </w:t>
      </w:r>
      <w:r>
        <w:t xml:space="preserve">يُرجع سجلات مركبات</w:t>
      </w:r>
      <w:r>
        <w:t xml:space="preserve"> </w:t>
      </w:r>
      <w:r>
        <w:rPr>
          <w:bCs/>
          <w:b/>
        </w:rPr>
        <w:t xml:space="preserve">جميع</w:t>
      </w:r>
      <w:r>
        <w:t xml:space="preserve"> </w:t>
      </w:r>
      <w:r>
        <w:t xml:space="preserve">المستخدمين.</w:t>
      </w:r>
    </w:p>
    <w:p>
      <w:pPr>
        <w:pStyle w:val="BodyText"/>
        <w:bidi w:val="1"/>
        <w:jc w:val="right"/>
      </w:pPr>
      <w:r>
        <w:rPr>
          <w:bCs/>
          <w:b/>
        </w:rPr>
        <w:t xml:space="preserve">الفرق الحاسم:</w:t>
      </w:r>
      <w:r>
        <w:t xml:space="preserve"> </w:t>
      </w:r>
      <w:r>
        <w:t xml:space="preserve">النظام يتحقق من</w:t>
      </w:r>
      <w:r>
        <w:t xml:space="preserve"> </w:t>
      </w:r>
      <w:r>
        <w:rPr>
          <w:bCs/>
          <w:b/>
        </w:rPr>
        <w:t xml:space="preserve">المصادقة</w:t>
      </w:r>
      <w:r>
        <w:t xml:space="preserve"> </w:t>
      </w:r>
      <w:r>
        <w:t xml:space="preserve">(JWT صالح) ويفشل في</w:t>
      </w:r>
      <w:r>
        <w:t xml:space="preserve"> </w:t>
      </w:r>
      <w:r>
        <w:rPr>
          <w:bCs/>
          <w:b/>
        </w:rPr>
        <w:t xml:space="preserve">التفويض</w:t>
      </w:r>
      <w:r>
        <w:t xml:space="preserve"> </w:t>
      </w:r>
      <w:r>
        <w:t xml:space="preserve">(هل للمستخدم حق قراءة هذه البيانات؟).</w:t>
      </w:r>
    </w:p>
    <w:p>
      <w:pPr>
        <w:bidi w:val="1"/>
        <w:jc w:val="right"/>
      </w:pPr>
      <w:r>
        <w:pict>
          <v:rect style="width:0;height:1.5pt" o:hralign="center" o:hrstd="t" o:hr="t"/>
        </w:pict>
      </w:r>
    </w:p>
    <w:bookmarkEnd w:id="23"/>
    <w:bookmarkEnd w:id="24"/>
    <w:bookmarkStart w:id="26" w:name="سلسلة-الهجوم"/>
    <w:p>
      <w:pPr>
        <w:pStyle w:val="Heading2"/>
        <w:bidi w:val="1"/>
        <w:jc w:val="right"/>
      </w:pPr>
      <w:r>
        <w:t xml:space="preserve">3. سلسلة الهجوم</w:t>
      </w:r>
    </w:p>
    <w:p>
      <w:pPr>
        <w:pStyle w:val="FirstParagraph"/>
        <w:bidi w:val="1"/>
        <w:jc w:val="right"/>
      </w:pPr>
      <w:r>
        <w:rPr>
          <w:bCs/>
          <w:b/>
        </w:rPr>
        <w:t xml:space="preserve">مسار الهجوم:</w:t>
      </w:r>
    </w:p>
    <w:p>
      <w:pPr>
        <w:numPr>
          <w:ilvl w:val="0"/>
          <w:numId w:val="1003"/>
        </w:numPr>
        <w:pStyle w:val="Compact"/>
        <w:bidi w:val="1"/>
        <w:jc w:val="right"/>
      </w:pPr>
      <w:r>
        <w:t xml:space="preserve">المهاجم →</w:t>
      </w:r>
      <w:r>
        <w:t xml:space="preserve"> </w:t>
      </w:r>
      <w:r>
        <w:rPr>
          <w:rStyle w:val="VerbatimChar"/>
        </w:rPr>
        <w:t xml:space="preserve">beapplicants.itp.moi.gov.iq</w:t>
      </w:r>
      <w:r>
        <w:t xml:space="preserve">: إرسال OTP</w:t>
      </w:r>
    </w:p>
    <w:p>
      <w:pPr>
        <w:numPr>
          <w:ilvl w:val="0"/>
          <w:numId w:val="1003"/>
        </w:numPr>
        <w:pStyle w:val="Compact"/>
        <w:bidi w:val="1"/>
        <w:jc w:val="right"/>
      </w:pPr>
      <w:r>
        <w:t xml:space="preserve">البوابة → Backend الداخلي: قبول الطلب دون التحقق من Host</w:t>
      </w:r>
    </w:p>
    <w:p>
      <w:pPr>
        <w:numPr>
          <w:ilvl w:val="0"/>
          <w:numId w:val="1003"/>
        </w:numPr>
        <w:pStyle w:val="Compact"/>
        <w:bidi w:val="1"/>
        <w:jc w:val="right"/>
      </w:pPr>
      <w:r>
        <w:t xml:space="preserve">Backend → المهاجم: إرسال OTP</w:t>
      </w:r>
    </w:p>
    <w:p>
      <w:pPr>
        <w:numPr>
          <w:ilvl w:val="0"/>
          <w:numId w:val="1003"/>
        </w:numPr>
        <w:pStyle w:val="Compact"/>
        <w:bidi w:val="1"/>
        <w:jc w:val="right"/>
      </w:pPr>
      <w:r>
        <w:t xml:space="preserve">المهاجم → البوابة: إنشاء حساب (signup)</w:t>
      </w:r>
    </w:p>
    <w:p>
      <w:pPr>
        <w:numPr>
          <w:ilvl w:val="0"/>
          <w:numId w:val="1003"/>
        </w:numPr>
        <w:pStyle w:val="Compact"/>
        <w:bidi w:val="1"/>
        <w:jc w:val="right"/>
      </w:pPr>
      <w:r>
        <w:t xml:space="preserve">Backend → المهاجم: تأكيد إنشاء الحساب</w:t>
      </w:r>
    </w:p>
    <w:p>
      <w:pPr>
        <w:numPr>
          <w:ilvl w:val="0"/>
          <w:numId w:val="1003"/>
        </w:numPr>
        <w:pStyle w:val="Compact"/>
        <w:bidi w:val="1"/>
        <w:jc w:val="right"/>
      </w:pPr>
      <w:r>
        <w:t xml:space="preserve">المهاجم → البوابة: تسجيل الدخول (login)</w:t>
      </w:r>
    </w:p>
    <w:p>
      <w:pPr>
        <w:numPr>
          <w:ilvl w:val="0"/>
          <w:numId w:val="1003"/>
        </w:numPr>
        <w:pStyle w:val="Compact"/>
        <w:bidi w:val="1"/>
        <w:jc w:val="right"/>
      </w:pPr>
      <w:r>
        <w:t xml:space="preserve">Backend → المهاجم: JWT Token</w:t>
      </w:r>
    </w:p>
    <w:p>
      <w:pPr>
        <w:numPr>
          <w:ilvl w:val="0"/>
          <w:numId w:val="1003"/>
        </w:numPr>
        <w:pStyle w:val="Compact"/>
        <w:bidi w:val="1"/>
        <w:jc w:val="right"/>
      </w:pPr>
      <w:r>
        <w:t xml:space="preserve">المهاجم → البوابة: البحث في سجلات المركبات</w:t>
      </w:r>
      <w:r>
        <w:t xml:space="preserve"> </w:t>
      </w:r>
      <w:r>
        <w:rPr>
          <w:rStyle w:val="VerbatimChar"/>
        </w:rPr>
        <w:t xml:space="preserve">{}</w:t>
      </w:r>
    </w:p>
    <w:p>
      <w:pPr>
        <w:numPr>
          <w:ilvl w:val="0"/>
          <w:numId w:val="1003"/>
        </w:numPr>
        <w:pStyle w:val="Compact"/>
        <w:bidi w:val="1"/>
        <w:jc w:val="right"/>
      </w:pPr>
      <w:r>
        <w:t xml:space="preserve">Backend → المهاجم: جميع سجلات المركبات (بدون فلترة)</w:t>
      </w:r>
    </w:p>
    <w:p>
      <w:pPr>
        <w:numPr>
          <w:ilvl w:val="0"/>
          <w:numId w:val="1003"/>
        </w:numPr>
        <w:pStyle w:val="Compact"/>
        <w:bidi w:val="1"/>
        <w:jc w:val="right"/>
      </w:pPr>
      <w:r>
        <w:t xml:space="preserve">المهاجم → البوابة: GET requests/{requestId} لطلب مواطن آخر</w:t>
      </w:r>
    </w:p>
    <w:p>
      <w:pPr>
        <w:numPr>
          <w:ilvl w:val="0"/>
          <w:numId w:val="1003"/>
        </w:numPr>
        <w:pStyle w:val="Compact"/>
        <w:bidi w:val="1"/>
        <w:jc w:val="right"/>
      </w:pPr>
      <w:r>
        <w:t xml:space="preserve">Backend → المهاجم: بيانات المواطن الآخر (بدون التحقق من الملكية)</w:t>
      </w:r>
    </w:p>
    <w:bookmarkStart w:id="25" w:name="خطوات-إثبات-المفهوم-poc"/>
    <w:p>
      <w:pPr>
        <w:pStyle w:val="Heading3"/>
        <w:bidi w:val="1"/>
        <w:jc w:val="right"/>
      </w:pPr>
      <w:r>
        <w:t xml:space="preserve">خطوات إثبات المفهوم (POC)</w:t>
      </w:r>
    </w:p>
    <w:p>
      <w:pPr>
        <w:pStyle w:val="FirstParagraph"/>
        <w:bidi w:val="1"/>
        <w:jc w:val="right"/>
      </w:pPr>
      <w:r>
        <w:rPr>
          <w:bCs/>
          <w:b/>
        </w:rPr>
        <w:t xml:space="preserve">1 — إرسال OTP للتحقق من رقم الهاتف</w:t>
      </w:r>
    </w:p>
    <w:p>
      <w:pPr>
        <w:pStyle w:val="SourceCode"/>
        <w:bidi w:val="1"/>
        <w:jc w:val="right"/>
      </w:pPr>
      <w:r>
        <w:rPr>
          <w:rStyle w:val="VerbatimChar"/>
        </w:rPr>
        <w:t xml:space="preserve">POST /api/applicant/v1/auth/confirm-phone-number-send-otp HTTP/1.1</w:t>
      </w:r>
      <w:r>
        <w:br/>
      </w:r>
      <w:r>
        <w:rPr>
          <w:rStyle w:val="VerbatimChar"/>
        </w:rPr>
        <w:t xml:space="preserve">Host: beapplicants.itp.moi.gov.iq</w:t>
      </w:r>
      <w:r>
        <w:br/>
      </w:r>
      <w:r>
        <w:rPr>
          <w:rStyle w:val="VerbatimChar"/>
        </w:rPr>
        <w:t xml:space="preserve">Content-Type: application/json</w:t>
      </w:r>
      <w:r>
        <w:br/>
      </w:r>
      <w:r>
        <w:rPr>
          <w:rStyle w:val="VerbatimChar"/>
        </w:rPr>
        <w:t xml:space="preserve">Tz: Asia/Baghdad</w:t>
      </w:r>
      <w:r>
        <w:br/>
      </w:r>
      <w:r>
        <w:rPr>
          <w:rStyle w:val="VerbatimChar"/>
        </w:rPr>
        <w:t xml:space="preserve">X-Digital-Channel: 2</w:t>
      </w:r>
      <w:r>
        <w:br/>
      </w:r>
      <w:r>
        <w:br/>
      </w:r>
      <w:r>
        <w:rPr>
          <w:rStyle w:val="VerbatimChar"/>
        </w:rPr>
        <w:t xml:space="preserve">{"phoneNumber": "07XXXXXXXXX", "model": "Web"}</w:t>
      </w:r>
    </w:p>
    <w:p>
      <w:pPr>
        <w:pStyle w:val="FirstParagraph"/>
        <w:bidi w:val="1"/>
        <w:jc w:val="right"/>
      </w:pPr>
      <w:r>
        <w:rPr>
          <w:bCs/>
          <w:b/>
        </w:rPr>
        <w:t xml:space="preserve">2 — إنشاء حساب مراجع جديد</w:t>
      </w:r>
    </w:p>
    <w:p>
      <w:pPr>
        <w:pStyle w:val="SourceCode"/>
        <w:bidi w:val="1"/>
        <w:jc w:val="right"/>
      </w:pPr>
      <w:r>
        <w:rPr>
          <w:rStyle w:val="VerbatimChar"/>
        </w:rPr>
        <w:t xml:space="preserve">POST /api/applicant/v1/auth/signup HTTP/1.1</w:t>
      </w:r>
      <w:r>
        <w:br/>
      </w:r>
      <w:r>
        <w:rPr>
          <w:rStyle w:val="VerbatimChar"/>
        </w:rPr>
        <w:t xml:space="preserve">Host: beapplicants.itp.moi.gov.iq</w:t>
      </w:r>
      <w:r>
        <w:br/>
      </w:r>
      <w:r>
        <w:rPr>
          <w:rStyle w:val="VerbatimChar"/>
        </w:rPr>
        <w:t xml:space="preserve">Content-Type: application/json</w:t>
      </w:r>
      <w:r>
        <w:br/>
      </w:r>
      <w:r>
        <w:rPr>
          <w:rStyle w:val="VerbatimChar"/>
        </w:rPr>
        <w:t xml:space="preserve">Tz: Asia/Baghdad</w:t>
      </w:r>
      <w:r>
        <w:br/>
      </w:r>
      <w:r>
        <w:rPr>
          <w:rStyle w:val="VerbatimChar"/>
        </w:rPr>
        <w:t xml:space="preserve">X-Digital-Channel: 2</w:t>
      </w:r>
      <w:r>
        <w:br/>
      </w:r>
      <w:r>
        <w:br/>
      </w:r>
      <w:r>
        <w:rPr>
          <w:rStyle w:val="VerbatimChar"/>
        </w:rPr>
        <w:t xml:space="preserve">{</w:t>
      </w:r>
      <w:r>
        <w:br/>
      </w:r>
      <w:r>
        <w:rPr>
          <w:rStyle w:val="VerbatimChar"/>
        </w:rPr>
        <w:t xml:space="preserve">  "userName": "testbughunter1",</w:t>
      </w:r>
      <w:r>
        <w:br/>
      </w:r>
      <w:r>
        <w:rPr>
          <w:rStyle w:val="VerbatimChar"/>
        </w:rPr>
        <w:t xml:space="preserve">  "password": "Test@12345678",</w:t>
      </w:r>
      <w:r>
        <w:br/>
      </w:r>
      <w:r>
        <w:rPr>
          <w:rStyle w:val="VerbatimChar"/>
        </w:rPr>
        <w:t xml:space="preserve">  "givenName": "Test",</w:t>
      </w:r>
      <w:r>
        <w:br/>
      </w:r>
      <w:r>
        <w:rPr>
          <w:rStyle w:val="VerbatimChar"/>
        </w:rPr>
        <w:t xml:space="preserve">  "fatherName": "Bug",</w:t>
      </w:r>
      <w:r>
        <w:br/>
      </w:r>
      <w:r>
        <w:rPr>
          <w:rStyle w:val="VerbatimChar"/>
        </w:rPr>
        <w:t xml:space="preserve">  "grandFatherName": "Hunter",</w:t>
      </w:r>
      <w:r>
        <w:br/>
      </w:r>
      <w:r>
        <w:rPr>
          <w:rStyle w:val="VerbatimChar"/>
        </w:rPr>
        <w:t xml:space="preserve">  "surName": "One",</w:t>
      </w:r>
      <w:r>
        <w:br/>
      </w:r>
      <w:r>
        <w:rPr>
          <w:rStyle w:val="VerbatimChar"/>
        </w:rPr>
        <w:t xml:space="preserve">  "phoneNumber": "07XXXXXXXXX"</w:t>
      </w:r>
      <w:r>
        <w:br/>
      </w:r>
      <w:r>
        <w:rPr>
          <w:rStyle w:val="VerbatimChar"/>
        </w:rPr>
        <w:t xml:space="preserve">}</w:t>
      </w:r>
    </w:p>
    <w:p>
      <w:pPr>
        <w:pStyle w:val="FirstParagraph"/>
        <w:bidi w:val="1"/>
        <w:jc w:val="right"/>
      </w:pPr>
      <w:r>
        <w:rPr>
          <w:bCs/>
          <w:b/>
        </w:rPr>
        <w:t xml:space="preserve">3 — تسجيل الدخول والحصول على JWT</w:t>
      </w:r>
    </w:p>
    <w:p>
      <w:pPr>
        <w:pStyle w:val="SourceCode"/>
        <w:bidi w:val="1"/>
        <w:jc w:val="right"/>
      </w:pPr>
      <w:r>
        <w:rPr>
          <w:rStyle w:val="VerbatimChar"/>
        </w:rPr>
        <w:t xml:space="preserve">POST /api/applicant/v1/auth/login HTTP/1.1</w:t>
      </w:r>
      <w:r>
        <w:br/>
      </w:r>
      <w:r>
        <w:rPr>
          <w:rStyle w:val="VerbatimChar"/>
        </w:rPr>
        <w:t xml:space="preserve">Host: beapplicants.itp.moi.gov.iq</w:t>
      </w:r>
      <w:r>
        <w:br/>
      </w:r>
      <w:r>
        <w:rPr>
          <w:rStyle w:val="VerbatimChar"/>
        </w:rPr>
        <w:t xml:space="preserve">Content-Type: application/json</w:t>
      </w:r>
      <w:r>
        <w:br/>
      </w:r>
      <w:r>
        <w:rPr>
          <w:rStyle w:val="VerbatimChar"/>
        </w:rPr>
        <w:t xml:space="preserve">Tz: Asia/Baghdad</w:t>
      </w:r>
      <w:r>
        <w:br/>
      </w:r>
      <w:r>
        <w:rPr>
          <w:rStyle w:val="VerbatimChar"/>
        </w:rPr>
        <w:t xml:space="preserve">X-Digital-Channel: 2</w:t>
      </w:r>
      <w:r>
        <w:br/>
      </w:r>
      <w:r>
        <w:br/>
      </w:r>
      <w:r>
        <w:rPr>
          <w:rStyle w:val="VerbatimChar"/>
        </w:rPr>
        <w:t xml:space="preserve">{"userName": "testbughunter1", "password": "Test@12345678"}</w:t>
      </w:r>
    </w:p>
    <w:p>
      <w:pPr>
        <w:pStyle w:val="FirstParagraph"/>
        <w:bidi w:val="1"/>
        <w:jc w:val="right"/>
      </w:pPr>
      <w:r>
        <w:rPr>
          <w:bCs/>
          <w:b/>
        </w:rPr>
        <w:t xml:space="preserve">4 — البحث في جميع سجلات المركبات (Broken Access Control)</w:t>
      </w:r>
    </w:p>
    <w:p>
      <w:pPr>
        <w:pStyle w:val="SourceCode"/>
        <w:bidi w:val="1"/>
        <w:jc w:val="right"/>
      </w:pPr>
      <w:r>
        <w:rPr>
          <w:rStyle w:val="VerbatimChar"/>
        </w:rPr>
        <w:t xml:space="preserve">POST /api/applicant/v1/registrations/search HTTP/1.1</w:t>
      </w:r>
      <w:r>
        <w:br/>
      </w:r>
      <w:r>
        <w:rPr>
          <w:rStyle w:val="VerbatimChar"/>
        </w:rPr>
        <w:t xml:space="preserve">Host: beapplicants.itp.moi.gov.iq</w:t>
      </w:r>
      <w:r>
        <w:br/>
      </w:r>
      <w:r>
        <w:rPr>
          <w:rStyle w:val="VerbatimChar"/>
        </w:rPr>
        <w:t xml:space="preserve">Content-Type: application/json</w:t>
      </w:r>
      <w:r>
        <w:br/>
      </w:r>
      <w:r>
        <w:rPr>
          <w:rStyle w:val="VerbatimChar"/>
        </w:rPr>
        <w:t xml:space="preserve">Authorization: Bearer &lt;token&gt;</w:t>
      </w:r>
      <w:r>
        <w:br/>
      </w:r>
      <w:r>
        <w:rPr>
          <w:rStyle w:val="VerbatimChar"/>
        </w:rPr>
        <w:t xml:space="preserve">Tz: Asia/Baghdad</w:t>
      </w:r>
      <w:r>
        <w:br/>
      </w:r>
      <w:r>
        <w:rPr>
          <w:rStyle w:val="VerbatimChar"/>
        </w:rPr>
        <w:t xml:space="preserve">X-Digital-Channel: 2</w:t>
      </w:r>
      <w:r>
        <w:br/>
      </w:r>
      <w:r>
        <w:br/>
      </w:r>
      <w:r>
        <w:rPr>
          <w:rStyle w:val="VerbatimChar"/>
        </w:rPr>
        <w:t xml:space="preserve">{}</w:t>
      </w:r>
    </w:p>
    <w:p>
      <w:pPr>
        <w:pStyle w:val="FirstParagraph"/>
        <w:bidi w:val="1"/>
        <w:jc w:val="right"/>
      </w:pPr>
      <w:r>
        <w:rPr>
          <w:bCs/>
          <w:b/>
        </w:rPr>
        <w:t xml:space="preserve">5 — الوصول لبيانات مواطن آخر عبر requestId (IDOR)</w:t>
      </w:r>
    </w:p>
    <w:p>
      <w:pPr>
        <w:pStyle w:val="SourceCode"/>
        <w:bidi w:val="1"/>
        <w:jc w:val="right"/>
      </w:pPr>
      <w:r>
        <w:rPr>
          <w:rStyle w:val="VerbatimChar"/>
        </w:rPr>
        <w:t xml:space="preserve">GET /api/applicant/v1/requests/{requestId} HTTP/1.1</w:t>
      </w:r>
      <w:r>
        <w:br/>
      </w:r>
      <w:r>
        <w:rPr>
          <w:rStyle w:val="VerbatimChar"/>
        </w:rPr>
        <w:t xml:space="preserve">Host: beapplicants.itp.moi.gov.iq</w:t>
      </w:r>
      <w:r>
        <w:br/>
      </w:r>
      <w:r>
        <w:rPr>
          <w:rStyle w:val="VerbatimChar"/>
        </w:rPr>
        <w:t xml:space="preserve">Authorization: Bearer &lt;token&gt;</w:t>
      </w:r>
      <w:r>
        <w:br/>
      </w:r>
      <w:r>
        <w:rPr>
          <w:rStyle w:val="VerbatimChar"/>
        </w:rPr>
        <w:t xml:space="preserve">Tz: Asia/Baghdad</w:t>
      </w:r>
      <w:r>
        <w:br/>
      </w:r>
      <w:r>
        <w:rPr>
          <w:rStyle w:val="VerbatimChar"/>
        </w:rPr>
        <w:t xml:space="preserve">X-Digital-Channel: 2</w:t>
      </w:r>
    </w:p>
    <w:p>
      <w:pPr>
        <w:bidi w:val="1"/>
        <w:jc w:val="right"/>
      </w:pPr>
      <w:r>
        <w:pict>
          <v:rect style="width:0;height:1.5pt" o:hralign="center" o:hrstd="t" o:hr="t"/>
        </w:pict>
      </w:r>
    </w:p>
    <w:bookmarkEnd w:id="25"/>
    <w:bookmarkEnd w:id="26"/>
    <w:bookmarkStart w:id="27" w:name="تقييم-التأثير"/>
    <w:p>
      <w:pPr>
        <w:pStyle w:val="Heading2"/>
        <w:bidi w:val="1"/>
        <w:jc w:val="right"/>
      </w:pPr>
      <w:r>
        <w:t xml:space="preserve">4. تقييم التأثير</w:t>
      </w:r>
    </w:p>
    <w:tbl>
      <w:tblPr>
        <w:tblStyle w:val="Table"/>
        <w:tblW w:type="pct" w:w="5000"/>
        <w:tblLook w:firstRow="1" w:lastRow="0" w:firstColumn="0" w:lastColumn="0" w:noHBand="0" w:noVBand="0" w:val="0020"/>
        <w:jc w:val="start"/>
      </w:tblPr>
      <w:tblGrid>
        <w:gridCol w:w="2132"/>
        <w:gridCol w:w="2741"/>
        <w:gridCol w:w="3046"/>
      </w:tblGrid>
      <w:tr>
        <w:trPr>
          <w:tblHeader w:val="true"/>
        </w:trPr>
        <w:tc>
          <w:tcPr/>
          <w:p>
            <w:pPr>
              <w:pStyle w:val="Compact"/>
              <w:jc w:val="left"/>
              <w:bidi w:val="1"/>
              <w:jc w:val="right"/>
            </w:pPr>
            <w:r>
              <w:t xml:space="preserve">البعد</w:t>
            </w:r>
          </w:p>
        </w:tc>
        <w:tc>
          <w:tcPr/>
          <w:p>
            <w:pPr>
              <w:pStyle w:val="Compact"/>
              <w:jc w:val="left"/>
              <w:bidi w:val="1"/>
              <w:jc w:val="right"/>
            </w:pPr>
            <w:r>
              <w:t xml:space="preserve">التقييم</w:t>
            </w:r>
          </w:p>
        </w:tc>
        <w:tc>
          <w:tcPr/>
          <w:p>
            <w:pPr>
              <w:pStyle w:val="Compact"/>
              <w:jc w:val="left"/>
              <w:bidi w:val="1"/>
              <w:jc w:val="right"/>
            </w:pPr>
            <w:r>
              <w:t xml:space="preserve">التفاصيل</w:t>
            </w:r>
          </w:p>
        </w:tc>
      </w:tr>
      <w:tr>
        <w:tc>
          <w:tcPr/>
          <w:p>
            <w:pPr>
              <w:pStyle w:val="Compact"/>
              <w:jc w:val="left"/>
              <w:bidi w:val="1"/>
              <w:jc w:val="right"/>
            </w:pPr>
            <w:r>
              <w:rPr>
                <w:bCs/>
                <w:b/>
              </w:rPr>
              <w:t xml:space="preserve">السرية</w:t>
            </w:r>
          </w:p>
        </w:tc>
        <w:tc>
          <w:tcPr/>
          <w:p>
            <w:pPr>
              <w:pStyle w:val="Compact"/>
              <w:jc w:val="left"/>
              <w:bidi w:val="1"/>
              <w:jc w:val="right"/>
            </w:pPr>
            <w:r>
              <w:t xml:space="preserve">عالي جداً</w:t>
            </w:r>
          </w:p>
        </w:tc>
        <w:tc>
          <w:tcPr/>
          <w:p>
            <w:pPr>
              <w:pStyle w:val="Compact"/>
              <w:jc w:val="left"/>
              <w:bidi w:val="1"/>
              <w:jc w:val="right"/>
            </w:pPr>
            <w:r>
              <w:t xml:space="preserve">PII لمواطنين متعددين: أسماء، هواتف، طلبات، مركبات</w:t>
            </w:r>
          </w:p>
        </w:tc>
      </w:tr>
      <w:tr>
        <w:tc>
          <w:tcPr/>
          <w:p>
            <w:pPr>
              <w:pStyle w:val="Compact"/>
              <w:jc w:val="left"/>
              <w:bidi w:val="1"/>
              <w:jc w:val="right"/>
            </w:pPr>
            <w:r>
              <w:rPr>
                <w:bCs/>
                <w:b/>
              </w:rPr>
              <w:t xml:space="preserve">النزاهة</w:t>
            </w:r>
          </w:p>
        </w:tc>
        <w:tc>
          <w:tcPr/>
          <w:p>
            <w:pPr>
              <w:pStyle w:val="Compact"/>
              <w:jc w:val="left"/>
              <w:bidi w:val="1"/>
              <w:jc w:val="right"/>
            </w:pPr>
            <w:r>
              <w:t xml:space="preserve">متوسط</w:t>
            </w:r>
          </w:p>
        </w:tc>
        <w:tc>
          <w:tcPr/>
          <w:p>
            <w:pPr>
              <w:pStyle w:val="Compact"/>
              <w:jc w:val="left"/>
              <w:bidi w:val="1"/>
              <w:jc w:val="right"/>
            </w:pPr>
            <w:r>
              <w:t xml:space="preserve">إنشاء حسابات وهمية؛ خطر تعديل إن وُجدت endpoints كتابة</w:t>
            </w:r>
          </w:p>
        </w:tc>
      </w:tr>
      <w:tr>
        <w:tc>
          <w:tcPr/>
          <w:p>
            <w:pPr>
              <w:pStyle w:val="Compact"/>
              <w:jc w:val="left"/>
              <w:bidi w:val="1"/>
              <w:jc w:val="right"/>
            </w:pPr>
            <w:r>
              <w:rPr>
                <w:bCs/>
                <w:b/>
              </w:rPr>
              <w:t xml:space="preserve">التوفر</w:t>
            </w:r>
          </w:p>
        </w:tc>
        <w:tc>
          <w:tcPr/>
          <w:p>
            <w:pPr>
              <w:pStyle w:val="Compact"/>
              <w:jc w:val="left"/>
              <w:bidi w:val="1"/>
              <w:jc w:val="right"/>
            </w:pPr>
            <w:r>
              <w:t xml:space="preserve">منخفض</w:t>
            </w:r>
          </w:p>
        </w:tc>
        <w:tc>
          <w:tcPr/>
          <w:p>
            <w:pPr>
              <w:pStyle w:val="Compact"/>
              <w:jc w:val="left"/>
              <w:bidi w:val="1"/>
              <w:jc w:val="right"/>
            </w:pPr>
            <w:r>
              <w:t xml:space="preserve">غير مباشر</w:t>
            </w:r>
          </w:p>
        </w:tc>
      </w:tr>
      <w:tr>
        <w:tc>
          <w:tcPr/>
          <w:p>
            <w:pPr>
              <w:pStyle w:val="Compact"/>
              <w:jc w:val="left"/>
              <w:bidi w:val="1"/>
              <w:jc w:val="right"/>
            </w:pPr>
            <w:r>
              <w:rPr>
                <w:bCs/>
                <w:b/>
              </w:rPr>
              <w:t xml:space="preserve">قابلية الاستغلال</w:t>
            </w:r>
          </w:p>
        </w:tc>
        <w:tc>
          <w:tcPr/>
          <w:p>
            <w:pPr>
              <w:pStyle w:val="Compact"/>
              <w:jc w:val="left"/>
              <w:bidi w:val="1"/>
              <w:jc w:val="right"/>
            </w:pPr>
            <w:r>
              <w:t xml:space="preserve">عالية</w:t>
            </w:r>
          </w:p>
        </w:tc>
        <w:tc>
          <w:tcPr/>
          <w:p>
            <w:pPr>
              <w:pStyle w:val="Compact"/>
              <w:jc w:val="left"/>
              <w:bidi w:val="1"/>
              <w:jc w:val="right"/>
            </w:pPr>
            <w:r>
              <w:t xml:space="preserve">لا يتطلب مهارات متقدمة</w:t>
            </w:r>
          </w:p>
        </w:tc>
      </w:tr>
      <w:tr>
        <w:tc>
          <w:tcPr/>
          <w:p>
            <w:pPr>
              <w:pStyle w:val="Compact"/>
              <w:jc w:val="left"/>
              <w:bidi w:val="1"/>
              <w:jc w:val="right"/>
            </w:pPr>
            <w:r>
              <w:rPr>
                <w:bCs/>
                <w:b/>
              </w:rPr>
              <w:t xml:space="preserve">الامتثال / القانوني</w:t>
            </w:r>
          </w:p>
        </w:tc>
        <w:tc>
          <w:tcPr/>
          <w:p>
            <w:pPr>
              <w:pStyle w:val="Compact"/>
              <w:jc w:val="left"/>
              <w:bidi w:val="1"/>
              <w:jc w:val="right"/>
            </w:pPr>
            <w:r>
              <w:t xml:space="preserve">حرج</w:t>
            </w:r>
          </w:p>
        </w:tc>
        <w:tc>
          <w:tcPr/>
          <w:p>
            <w:pPr>
              <w:pStyle w:val="Compact"/>
              <w:jc w:val="left"/>
              <w:bidi w:val="1"/>
              <w:jc w:val="right"/>
            </w:pPr>
            <w:r>
              <w:t xml:space="preserve">انتهاك خصوصية بيانات مواطنين — جهة حكومية</w:t>
            </w:r>
          </w:p>
        </w:tc>
      </w:tr>
    </w:tbl>
    <w:p>
      <w:pPr>
        <w:bidi w:val="1"/>
        <w:jc w:val="right"/>
      </w:pPr>
      <w:r>
        <w:pict>
          <v:rect style="width:0;height:1.5pt" o:hralign="center" o:hrstd="t" o:hr="t"/>
        </w:pict>
      </w:r>
    </w:p>
    <w:bookmarkEnd w:id="27"/>
    <w:bookmarkStart w:id="31" w:name="التوصيات"/>
    <w:p>
      <w:pPr>
        <w:pStyle w:val="Heading2"/>
        <w:bidi w:val="1"/>
        <w:jc w:val="right"/>
      </w:pPr>
      <w:r>
        <w:t xml:space="preserve">5. التوصيات</w:t>
      </w:r>
    </w:p>
    <w:bookmarkStart w:id="28" w:name="البنية-التحتية-host-network"/>
    <w:p>
      <w:pPr>
        <w:pStyle w:val="Heading3"/>
        <w:bidi w:val="1"/>
        <w:jc w:val="right"/>
      </w:pPr>
      <w:r>
        <w:t xml:space="preserve">5.1 البنية التحتية (Host / Network)</w:t>
      </w:r>
    </w:p>
    <w:p>
      <w:pPr>
        <w:numPr>
          <w:ilvl w:val="0"/>
          <w:numId w:val="1004"/>
        </w:numPr>
        <w:pStyle w:val="Compact"/>
        <w:bidi w:val="1"/>
        <w:jc w:val="right"/>
      </w:pPr>
      <w:r>
        <w:t xml:space="preserve">رفض أي طلب لا يطابق قائمة</w:t>
      </w:r>
      <w:r>
        <w:t xml:space="preserve"> </w:t>
      </w:r>
      <w:r>
        <w:rPr>
          <w:rStyle w:val="VerbatimChar"/>
        </w:rPr>
        <w:t xml:space="preserve">Host</w:t>
      </w:r>
      <w:r>
        <w:t xml:space="preserve"> </w:t>
      </w:r>
      <w:r>
        <w:t xml:space="preserve">/</w:t>
      </w:r>
      <w:r>
        <w:t xml:space="preserve"> </w:t>
      </w:r>
      <w:r>
        <w:rPr>
          <w:rStyle w:val="VerbatimChar"/>
        </w:rPr>
        <w:t xml:space="preserve">X-Forwarded-Host</w:t>
      </w:r>
      <w:r>
        <w:t xml:space="preserve"> </w:t>
      </w:r>
      <w:r>
        <w:t xml:space="preserve">المسموحة على Gateway و Backend</w:t>
      </w:r>
    </w:p>
    <w:p>
      <w:pPr>
        <w:numPr>
          <w:ilvl w:val="0"/>
          <w:numId w:val="1004"/>
        </w:numPr>
        <w:pStyle w:val="Compact"/>
        <w:bidi w:val="1"/>
        <w:jc w:val="right"/>
      </w:pPr>
      <w:r>
        <w:t xml:space="preserve">جعل Backend (</w:t>
      </w:r>
      <w:r>
        <w:rPr>
          <w:rStyle w:val="VerbatimChar"/>
        </w:rPr>
        <w:t xml:space="preserve">prod-bapplicants.itpmoi-prod.local</w:t>
      </w:r>
      <w:r>
        <w:t xml:space="preserve">)</w:t>
      </w:r>
      <w:r>
        <w:t xml:space="preserve"> </w:t>
      </w:r>
      <w:r>
        <w:rPr>
          <w:bCs/>
          <w:b/>
        </w:rPr>
        <w:t xml:space="preserve">internal-only</w:t>
      </w:r>
      <w:r>
        <w:t xml:space="preserve"> </w:t>
      </w:r>
      <w:r>
        <w:t xml:space="preserve">— لا وصول مباشر من الإنternet</w:t>
      </w:r>
    </w:p>
    <w:p>
      <w:pPr>
        <w:numPr>
          <w:ilvl w:val="0"/>
          <w:numId w:val="1004"/>
        </w:numPr>
        <w:pStyle w:val="Compact"/>
        <w:bidi w:val="1"/>
        <w:jc w:val="right"/>
      </w:pPr>
      <w:r>
        <w:t xml:space="preserve">استخدام</w:t>
      </w:r>
      <w:r>
        <w:t xml:space="preserve"> </w:t>
      </w:r>
      <w:r>
        <w:rPr>
          <w:rStyle w:val="VerbatimChar"/>
        </w:rPr>
        <w:t xml:space="preserve">server_name</w:t>
      </w:r>
      <w:r>
        <w:t xml:space="preserve"> </w:t>
      </w:r>
      <w:r>
        <w:t xml:space="preserve">صارم في Nginx / IIS / Apache</w:t>
      </w:r>
    </w:p>
    <w:p>
      <w:pPr>
        <w:numPr>
          <w:ilvl w:val="0"/>
          <w:numId w:val="1004"/>
        </w:numPr>
        <w:pStyle w:val="Compact"/>
        <w:bidi w:val="1"/>
        <w:jc w:val="right"/>
      </w:pPr>
      <w:r>
        <w:t xml:space="preserve">Firewall rules تمنع الوصول المباشر لمنفذ Backend</w:t>
      </w:r>
    </w:p>
    <w:p>
      <w:pPr>
        <w:numPr>
          <w:ilvl w:val="0"/>
          <w:numId w:val="1004"/>
        </w:numPr>
        <w:pStyle w:val="Compact"/>
        <w:bidi w:val="1"/>
        <w:jc w:val="right"/>
      </w:pPr>
      <w:r>
        <w:t xml:space="preserve">WAF rules لرؤوس Host غير المتوقعة</w:t>
      </w:r>
    </w:p>
    <w:bookmarkEnd w:id="28"/>
    <w:bookmarkStart w:id="29" w:name="التطبيق-authorization"/>
    <w:p>
      <w:pPr>
        <w:pStyle w:val="Heading3"/>
        <w:bidi w:val="1"/>
        <w:jc w:val="right"/>
      </w:pPr>
      <w:r>
        <w:t xml:space="preserve">5.2 التطبيق (Authorization)</w:t>
      </w:r>
    </w:p>
    <w:p>
      <w:pPr>
        <w:numPr>
          <w:ilvl w:val="0"/>
          <w:numId w:val="1005"/>
        </w:numPr>
        <w:pStyle w:val="Compact"/>
        <w:bidi w:val="1"/>
        <w:jc w:val="right"/>
      </w:pPr>
      <w:r>
        <w:rPr>
          <w:bCs/>
          <w:b/>
        </w:rPr>
        <w:t xml:space="preserve">Object-level authorization</w:t>
      </w:r>
      <w:r>
        <w:t xml:space="preserve"> </w:t>
      </w:r>
      <w:r>
        <w:t xml:space="preserve">على</w:t>
      </w:r>
      <w:r>
        <w:t xml:space="preserve"> </w:t>
      </w:r>
      <w:r>
        <w:rPr>
          <w:rStyle w:val="VerbatimChar"/>
        </w:rPr>
        <w:t xml:space="preserve">GET /requests/{requestId}</w:t>
      </w:r>
      <w:r>
        <w:t xml:space="preserve">: التحقق أن</w:t>
      </w:r>
      <w:r>
        <w:t xml:space="preserve"> </w:t>
      </w:r>
      <w:r>
        <w:rPr>
          <w:rStyle w:val="VerbatimChar"/>
        </w:rPr>
        <w:t xml:space="preserve">request.ownerId == jwt.sub</w:t>
      </w:r>
    </w:p>
    <w:p>
      <w:pPr>
        <w:numPr>
          <w:ilvl w:val="0"/>
          <w:numId w:val="1005"/>
        </w:numPr>
        <w:pStyle w:val="Compact"/>
        <w:bidi w:val="1"/>
        <w:jc w:val="right"/>
      </w:pPr>
      <w:r>
        <w:t xml:space="preserve">فلترة</w:t>
      </w:r>
      <w:r>
        <w:t xml:space="preserve"> </w:t>
      </w:r>
      <w:r>
        <w:rPr>
          <w:rStyle w:val="VerbatimChar"/>
        </w:rPr>
        <w:t xml:space="preserve">POST /registrations/search</w:t>
      </w:r>
      <w:r>
        <w:t xml:space="preserve"> </w:t>
      </w:r>
      <w:r>
        <w:t xml:space="preserve">حسب</w:t>
      </w:r>
      <w:r>
        <w:t xml:space="preserve"> </w:t>
      </w:r>
      <w:r>
        <w:rPr>
          <w:rStyle w:val="VerbatimChar"/>
        </w:rPr>
        <w:t xml:space="preserve">userId</w:t>
      </w:r>
      <w:r>
        <w:t xml:space="preserve"> </w:t>
      </w:r>
      <w:r>
        <w:t xml:space="preserve">من JWT — منع</w:t>
      </w:r>
      <w:r>
        <w:t xml:space="preserve"> </w:t>
      </w:r>
      <w:r>
        <w:rPr>
          <w:rStyle w:val="VerbatimChar"/>
        </w:rPr>
        <w:t xml:space="preserve">{}</w:t>
      </w:r>
      <w:r>
        <w:t xml:space="preserve"> </w:t>
      </w:r>
      <w:r>
        <w:t xml:space="preserve">كـ</w:t>
      </w:r>
      <w:r>
        <w:t xml:space="preserve"> </w:t>
      </w:r>
      <w:r>
        <w:t xml:space="preserve">“</w:t>
      </w:r>
      <w:r>
        <w:t xml:space="preserve">fetch all</w:t>
      </w:r>
      <w:r>
        <w:t xml:space="preserve">”</w:t>
      </w:r>
    </w:p>
    <w:p>
      <w:pPr>
        <w:numPr>
          <w:ilvl w:val="0"/>
          <w:numId w:val="1005"/>
        </w:numPr>
        <w:pStyle w:val="Compact"/>
        <w:bidi w:val="1"/>
        <w:jc w:val="right"/>
      </w:pPr>
      <w:r>
        <w:t xml:space="preserve">مراجعة</w:t>
      </w:r>
      <w:r>
        <w:t xml:space="preserve"> </w:t>
      </w:r>
      <w:r>
        <w:rPr>
          <w:bCs/>
          <w:b/>
        </w:rPr>
        <w:t xml:space="preserve">جميع</w:t>
      </w:r>
      <w:r>
        <w:t xml:space="preserve"> </w:t>
      </w:r>
      <w:r>
        <w:t xml:space="preserve">endpoints لنفس نمط BAC / IDOR</w:t>
      </w:r>
    </w:p>
    <w:p>
      <w:pPr>
        <w:numPr>
          <w:ilvl w:val="0"/>
          <w:numId w:val="1005"/>
        </w:numPr>
        <w:pStyle w:val="Compact"/>
        <w:bidi w:val="1"/>
        <w:jc w:val="right"/>
      </w:pPr>
      <w:r>
        <w:t xml:space="preserve">Rate limiting على OTP / signup / login</w:t>
      </w:r>
    </w:p>
    <w:p>
      <w:pPr>
        <w:numPr>
          <w:ilvl w:val="0"/>
          <w:numId w:val="1005"/>
        </w:numPr>
        <w:pStyle w:val="Compact"/>
        <w:bidi w:val="1"/>
        <w:jc w:val="right"/>
      </w:pPr>
      <w:r>
        <w:t xml:space="preserve">Logging و alerting لمحاولات Host manipulation و IDOR</w:t>
      </w:r>
    </w:p>
    <w:bookmarkEnd w:id="29"/>
    <w:bookmarkStart w:id="30" w:name="ما-يقترحه-التقرير-الأصلي"/>
    <w:p>
      <w:pPr>
        <w:pStyle w:val="Heading3"/>
        <w:bidi w:val="1"/>
        <w:jc w:val="right"/>
      </w:pPr>
      <w:r>
        <w:t xml:space="preserve">5.3 ما يقترحه التقرير الأصلي</w:t>
      </w:r>
    </w:p>
    <w:p>
      <w:pPr>
        <w:numPr>
          <w:ilvl w:val="0"/>
          <w:numId w:val="1006"/>
        </w:numPr>
        <w:pStyle w:val="Compact"/>
        <w:bidi w:val="1"/>
        <w:jc w:val="right"/>
      </w:pPr>
      <w:r>
        <w:t xml:space="preserve">تقييد الوصول إلى Backend APIs ومنع الوصول المباشر من الإنternet</w:t>
      </w:r>
    </w:p>
    <w:p>
      <w:pPr>
        <w:numPr>
          <w:ilvl w:val="0"/>
          <w:numId w:val="1006"/>
        </w:numPr>
        <w:pStyle w:val="Compact"/>
        <w:bidi w:val="1"/>
        <w:jc w:val="right"/>
      </w:pPr>
      <w:r>
        <w:t xml:space="preserve">السماح فقط عبر Reverse Proxy / API Gateway والمسارات المرصح بها</w:t>
      </w:r>
    </w:p>
    <w:p>
      <w:pPr>
        <w:bidi w:val="1"/>
        <w:jc w:val="right"/>
      </w:pPr>
      <w:r>
        <w:pict>
          <v:rect style="width:0;height:1.5pt" o:hralign="center" o:hrstd="t" o:hr="t"/>
        </w:pict>
      </w:r>
    </w:p>
    <w:bookmarkEnd w:id="30"/>
    <w:bookmarkEnd w:id="31"/>
    <w:bookmarkStart w:id="32" w:name="جدول-أولويات-المعالجة"/>
    <w:p>
      <w:pPr>
        <w:pStyle w:val="Heading2"/>
        <w:bidi w:val="1"/>
        <w:jc w:val="right"/>
      </w:pPr>
      <w:r>
        <w:t xml:space="preserve">6. جدول أولويات المعالجة</w:t>
      </w:r>
    </w:p>
    <w:tbl>
      <w:tblPr>
        <w:tblStyle w:val="Table"/>
        <w:tblW w:type="pct" w:w="5000"/>
        <w:tblLook w:firstRow="1" w:lastRow="0" w:firstColumn="0" w:lastColumn="0" w:noHBand="0" w:noVBand="0" w:val="0020"/>
        <w:jc w:val="start"/>
      </w:tblPr>
      <w:tblGrid>
        <w:gridCol w:w="2828"/>
        <w:gridCol w:w="2545"/>
        <w:gridCol w:w="2545"/>
      </w:tblGrid>
      <w:tr>
        <w:trPr>
          <w:tblHeader w:val="true"/>
        </w:trPr>
        <w:tc>
          <w:tcPr/>
          <w:p>
            <w:pPr>
              <w:pStyle w:val="Compact"/>
              <w:jc w:val="left"/>
              <w:bidi w:val="1"/>
              <w:jc w:val="right"/>
            </w:pPr>
            <w:r>
              <w:t xml:space="preserve">الأولوية</w:t>
            </w:r>
          </w:p>
        </w:tc>
        <w:tc>
          <w:tcPr/>
          <w:p>
            <w:pPr>
              <w:pStyle w:val="Compact"/>
              <w:jc w:val="left"/>
              <w:bidi w:val="1"/>
              <w:jc w:val="right"/>
            </w:pPr>
            <w:r>
              <w:t xml:space="preserve">الإجراء</w:t>
            </w:r>
          </w:p>
        </w:tc>
        <w:tc>
          <w:tcPr/>
          <w:p>
            <w:pPr>
              <w:pStyle w:val="Compact"/>
              <w:jc w:val="left"/>
              <w:bidi w:val="1"/>
              <w:jc w:val="right"/>
            </w:pPr>
            <w:r>
              <w:t xml:space="preserve">المسؤول</w:t>
            </w:r>
          </w:p>
        </w:tc>
      </w:tr>
      <w:tr>
        <w:tc>
          <w:tcPr/>
          <w:p>
            <w:pPr>
              <w:pStyle w:val="Compact"/>
              <w:jc w:val="left"/>
              <w:bidi w:val="1"/>
              <w:jc w:val="right"/>
            </w:pPr>
            <w:r>
              <w:rPr>
                <w:bCs/>
                <w:b/>
              </w:rPr>
              <w:t xml:space="preserve">P0 — فوري</w:t>
            </w:r>
          </w:p>
        </w:tc>
        <w:tc>
          <w:tcPr/>
          <w:p>
            <w:pPr>
              <w:pStyle w:val="Compact"/>
              <w:jc w:val="left"/>
              <w:bidi w:val="1"/>
              <w:jc w:val="right"/>
            </w:pPr>
            <w:r>
              <w:t xml:space="preserve">رفض أي</w:t>
            </w:r>
            <w:r>
              <w:t xml:space="preserve"> </w:t>
            </w:r>
            <w:r>
              <w:rPr>
                <w:rStyle w:val="VerbatimChar"/>
              </w:rPr>
              <w:t xml:space="preserve">Host</w:t>
            </w:r>
            <w:r>
              <w:t xml:space="preserve"> </w:t>
            </w:r>
            <w:r>
              <w:t xml:space="preserve">غير مسموح على Gateway و Backend</w:t>
            </w:r>
          </w:p>
        </w:tc>
        <w:tc>
          <w:tcPr/>
          <w:p>
            <w:pPr>
              <w:pStyle w:val="Compact"/>
              <w:jc w:val="left"/>
              <w:bidi w:val="1"/>
              <w:jc w:val="right"/>
            </w:pPr>
            <w:r>
              <w:t xml:space="preserve">البنية التحتية</w:t>
            </w:r>
          </w:p>
        </w:tc>
      </w:tr>
      <w:tr>
        <w:tc>
          <w:tcPr/>
          <w:p>
            <w:pPr>
              <w:pStyle w:val="Compact"/>
              <w:jc w:val="left"/>
              <w:bidi w:val="1"/>
              <w:jc w:val="right"/>
            </w:pPr>
            <w:r>
              <w:rPr>
                <w:bCs/>
                <w:b/>
              </w:rPr>
              <w:t xml:space="preserve">P0 — فوري</w:t>
            </w:r>
          </w:p>
        </w:tc>
        <w:tc>
          <w:tcPr/>
          <w:p>
            <w:pPr>
              <w:pStyle w:val="Compact"/>
              <w:jc w:val="left"/>
              <w:bidi w:val="1"/>
              <w:jc w:val="right"/>
            </w:pPr>
            <w:r>
              <w:t xml:space="preserve">عزل Backend — internal-only</w:t>
            </w:r>
          </w:p>
        </w:tc>
        <w:tc>
          <w:tcPr/>
          <w:p>
            <w:pPr>
              <w:pStyle w:val="Compact"/>
              <w:jc w:val="left"/>
              <w:bidi w:val="1"/>
              <w:jc w:val="right"/>
            </w:pPr>
            <w:r>
              <w:t xml:space="preserve">الشبكات / DevOps</w:t>
            </w:r>
          </w:p>
        </w:tc>
      </w:tr>
      <w:tr>
        <w:tc>
          <w:tcPr/>
          <w:p>
            <w:pPr>
              <w:pStyle w:val="Compact"/>
              <w:jc w:val="left"/>
              <w:bidi w:val="1"/>
              <w:jc w:val="right"/>
            </w:pPr>
            <w:r>
              <w:rPr>
                <w:bCs/>
                <w:b/>
              </w:rPr>
              <w:t xml:space="preserve">P0 — فوري</w:t>
            </w:r>
          </w:p>
        </w:tc>
        <w:tc>
          <w:tcPr/>
          <w:p>
            <w:pPr>
              <w:pStyle w:val="Compact"/>
              <w:jc w:val="left"/>
              <w:bidi w:val="1"/>
              <w:jc w:val="right"/>
            </w:pPr>
            <w:r>
              <w:t xml:space="preserve">إصلاح IDOR: التحقق من ملكية</w:t>
            </w:r>
            <w:r>
              <w:t xml:space="preserve"> </w:t>
            </w:r>
            <w:r>
              <w:rPr>
                <w:rStyle w:val="VerbatimChar"/>
              </w:rPr>
              <w:t xml:space="preserve">requestId</w:t>
            </w:r>
          </w:p>
        </w:tc>
        <w:tc>
          <w:tcPr/>
          <w:p>
            <w:pPr>
              <w:pStyle w:val="Compact"/>
              <w:jc w:val="left"/>
              <w:bidi w:val="1"/>
              <w:jc w:val="right"/>
            </w:pPr>
            <w:r>
              <w:t xml:space="preserve">Backend</w:t>
            </w:r>
          </w:p>
        </w:tc>
      </w:tr>
      <w:tr>
        <w:tc>
          <w:tcPr/>
          <w:p>
            <w:pPr>
              <w:pStyle w:val="Compact"/>
              <w:jc w:val="left"/>
              <w:bidi w:val="1"/>
              <w:jc w:val="right"/>
            </w:pPr>
            <w:r>
              <w:rPr>
                <w:bCs/>
                <w:b/>
              </w:rPr>
              <w:t xml:space="preserve">P0 — فوري</w:t>
            </w:r>
          </w:p>
        </w:tc>
        <w:tc>
          <w:tcPr/>
          <w:p>
            <w:pPr>
              <w:pStyle w:val="Compact"/>
              <w:jc w:val="left"/>
              <w:bidi w:val="1"/>
              <w:jc w:val="right"/>
            </w:pPr>
            <w:r>
              <w:t xml:space="preserve">إصلاح BAC: فلترة</w:t>
            </w:r>
            <w:r>
              <w:t xml:space="preserve"> </w:t>
            </w:r>
            <w:r>
              <w:rPr>
                <w:rStyle w:val="VerbatimChar"/>
              </w:rPr>
              <w:t xml:space="preserve">registrations/search</w:t>
            </w:r>
            <w:r>
              <w:t xml:space="preserve"> </w:t>
            </w:r>
            <w:r>
              <w:t xml:space="preserve">حسب JWT</w:t>
            </w:r>
          </w:p>
        </w:tc>
        <w:tc>
          <w:tcPr/>
          <w:p>
            <w:pPr>
              <w:pStyle w:val="Compact"/>
              <w:jc w:val="left"/>
              <w:bidi w:val="1"/>
              <w:jc w:val="right"/>
            </w:pPr>
            <w:r>
              <w:t xml:space="preserve">Backend</w:t>
            </w:r>
          </w:p>
        </w:tc>
      </w:tr>
      <w:tr>
        <w:tc>
          <w:tcPr/>
          <w:p>
            <w:pPr>
              <w:pStyle w:val="Compact"/>
              <w:jc w:val="left"/>
              <w:bidi w:val="1"/>
              <w:jc w:val="right"/>
            </w:pPr>
            <w:r>
              <w:rPr>
                <w:bCs/>
                <w:b/>
              </w:rPr>
              <w:t xml:space="preserve">P1 — عاجل</w:t>
            </w:r>
          </w:p>
        </w:tc>
        <w:tc>
          <w:tcPr/>
          <w:p>
            <w:pPr>
              <w:pStyle w:val="Compact"/>
              <w:jc w:val="left"/>
              <w:bidi w:val="1"/>
              <w:jc w:val="right"/>
            </w:pPr>
            <w:r>
              <w:t xml:space="preserve">مراجعة جميع endpoints لنفس النمط</w:t>
            </w:r>
          </w:p>
        </w:tc>
        <w:tc>
          <w:tcPr/>
          <w:p>
            <w:pPr>
              <w:pStyle w:val="Compact"/>
              <w:jc w:val="left"/>
              <w:bidi w:val="1"/>
              <w:jc w:val="right"/>
            </w:pPr>
            <w:r>
              <w:t xml:space="preserve">Backend + QA</w:t>
            </w:r>
          </w:p>
        </w:tc>
      </w:tr>
      <w:tr>
        <w:tc>
          <w:tcPr/>
          <w:p>
            <w:pPr>
              <w:pStyle w:val="Compact"/>
              <w:jc w:val="left"/>
              <w:bidi w:val="1"/>
              <w:jc w:val="right"/>
            </w:pPr>
            <w:r>
              <w:rPr>
                <w:bCs/>
                <w:b/>
              </w:rPr>
              <w:t xml:space="preserve">P1 — عاجل</w:t>
            </w:r>
          </w:p>
        </w:tc>
        <w:tc>
          <w:tcPr/>
          <w:p>
            <w:pPr>
              <w:pStyle w:val="Compact"/>
              <w:jc w:val="left"/>
              <w:bidi w:val="1"/>
              <w:jc w:val="right"/>
            </w:pPr>
            <w:r>
              <w:t xml:space="preserve">Rate limiting على signup / login / OTP</w:t>
            </w:r>
          </w:p>
        </w:tc>
        <w:tc>
          <w:tcPr/>
          <w:p>
            <w:pPr>
              <w:pStyle w:val="Compact"/>
              <w:jc w:val="left"/>
              <w:bidi w:val="1"/>
              <w:jc w:val="right"/>
            </w:pPr>
            <w:r>
              <w:t xml:space="preserve">Backend + Gateway</w:t>
            </w:r>
          </w:p>
        </w:tc>
      </w:tr>
      <w:tr>
        <w:tc>
          <w:tcPr/>
          <w:p>
            <w:pPr>
              <w:pStyle w:val="Compact"/>
              <w:jc w:val="left"/>
              <w:bidi w:val="1"/>
              <w:jc w:val="right"/>
            </w:pPr>
            <w:r>
              <w:rPr>
                <w:bCs/>
                <w:b/>
              </w:rPr>
              <w:t xml:space="preserve">P1 — عاجل</w:t>
            </w:r>
          </w:p>
        </w:tc>
        <w:tc>
          <w:tcPr/>
          <w:p>
            <w:pPr>
              <w:pStyle w:val="Compact"/>
              <w:jc w:val="left"/>
              <w:bidi w:val="1"/>
              <w:jc w:val="right"/>
            </w:pPr>
            <w:r>
              <w:t xml:space="preserve">WAF rules لـ Host manipulation</w:t>
            </w:r>
          </w:p>
        </w:tc>
        <w:tc>
          <w:tcPr/>
          <w:p>
            <w:pPr>
              <w:pStyle w:val="Compact"/>
              <w:jc w:val="left"/>
              <w:bidi w:val="1"/>
              <w:jc w:val="right"/>
            </w:pPr>
            <w:r>
              <w:t xml:space="preserve">الأمن / DevOps</w:t>
            </w:r>
          </w:p>
        </w:tc>
      </w:tr>
      <w:tr>
        <w:tc>
          <w:tcPr/>
          <w:p>
            <w:pPr>
              <w:pStyle w:val="Compact"/>
              <w:jc w:val="left"/>
              <w:bidi w:val="1"/>
              <w:jc w:val="right"/>
            </w:pPr>
            <w:r>
              <w:rPr>
                <w:bCs/>
                <w:b/>
              </w:rPr>
              <w:t xml:space="preserve">P2 — مهم</w:t>
            </w:r>
          </w:p>
        </w:tc>
        <w:tc>
          <w:tcPr/>
          <w:p>
            <w:pPr>
              <w:pStyle w:val="Compact"/>
              <w:jc w:val="left"/>
              <w:bidi w:val="1"/>
              <w:jc w:val="right"/>
            </w:pPr>
            <w:r>
              <w:t xml:space="preserve">Logging و alerting</w:t>
            </w:r>
          </w:p>
        </w:tc>
        <w:tc>
          <w:tcPr/>
          <w:p>
            <w:pPr>
              <w:pStyle w:val="Compact"/>
              <w:jc w:val="left"/>
              <w:bidi w:val="1"/>
              <w:jc w:val="right"/>
            </w:pPr>
            <w:r>
              <w:t xml:space="preserve">SOC / DevOps</w:t>
            </w:r>
          </w:p>
        </w:tc>
      </w:tr>
      <w:tr>
        <w:tc>
          <w:tcPr/>
          <w:p>
            <w:pPr>
              <w:pStyle w:val="Compact"/>
              <w:jc w:val="left"/>
              <w:bidi w:val="1"/>
              <w:jc w:val="right"/>
            </w:pPr>
            <w:r>
              <w:rPr>
                <w:bCs/>
                <w:b/>
              </w:rPr>
              <w:t xml:space="preserve">P2 — مهم</w:t>
            </w:r>
          </w:p>
        </w:tc>
        <w:tc>
          <w:tcPr/>
          <w:p>
            <w:pPr>
              <w:pStyle w:val="Compact"/>
              <w:jc w:val="left"/>
              <w:bidi w:val="1"/>
              <w:jc w:val="right"/>
            </w:pPr>
            <w:r>
              <w:t xml:space="preserve">Retest شامل بعد الإصلاح</w:t>
            </w:r>
          </w:p>
        </w:tc>
        <w:tc>
          <w:tcPr/>
          <w:p>
            <w:pPr>
              <w:pStyle w:val="Compact"/>
              <w:jc w:val="left"/>
              <w:bidi w:val="1"/>
              <w:jc w:val="right"/>
            </w:pPr>
            <w:r>
              <w:t xml:space="preserve">فريق الاختبار</w:t>
            </w:r>
          </w:p>
        </w:tc>
      </w:tr>
      <w:tr>
        <w:tc>
          <w:tcPr/>
          <w:p>
            <w:pPr>
              <w:pStyle w:val="Compact"/>
              <w:jc w:val="left"/>
              <w:bidi w:val="1"/>
              <w:jc w:val="right"/>
            </w:pPr>
            <w:r>
              <w:rPr>
                <w:bCs/>
                <w:b/>
              </w:rPr>
              <w:t xml:space="preserve">P3 — تحسين</w:t>
            </w:r>
          </w:p>
        </w:tc>
        <w:tc>
          <w:tcPr/>
          <w:p>
            <w:pPr>
              <w:pStyle w:val="Compact"/>
              <w:jc w:val="left"/>
              <w:bidi w:val="1"/>
              <w:jc w:val="right"/>
            </w:pPr>
            <w:r>
              <w:t xml:space="preserve">SAST / DAST في CI/CD</w:t>
            </w:r>
          </w:p>
        </w:tc>
        <w:tc>
          <w:tcPr/>
          <w:p>
            <w:pPr>
              <w:pStyle w:val="Compact"/>
              <w:jc w:val="left"/>
              <w:bidi w:val="1"/>
              <w:jc w:val="right"/>
            </w:pPr>
            <w:r>
              <w:t xml:space="preserve">DevSecOps</w:t>
            </w:r>
          </w:p>
        </w:tc>
      </w:tr>
    </w:tbl>
    <w:p>
      <w:pPr>
        <w:bidi w:val="1"/>
        <w:jc w:val="right"/>
      </w:pPr>
      <w:r>
        <w:pict>
          <v:rect style="width:0;height:1.5pt" o:hralign="center" o:hrstd="t" o:hr="t"/>
        </w:pict>
      </w:r>
    </w:p>
    <w:bookmarkEnd w:id="32"/>
    <w:bookmarkStart w:id="38" w:name="checklist-التحقق-بعد-الإصلاح"/>
    <w:p>
      <w:pPr>
        <w:pStyle w:val="Heading2"/>
        <w:bidi w:val="1"/>
        <w:jc w:val="right"/>
      </w:pPr>
      <w:r>
        <w:t xml:space="preserve">7. Checklist التحقق بعد الإصلاح</w:t>
      </w:r>
    </w:p>
    <w:bookmarkStart w:id="33" w:name="البنية-التحتية"/>
    <w:p>
      <w:pPr>
        <w:pStyle w:val="Heading3"/>
        <w:bidi w:val="1"/>
        <w:jc w:val="right"/>
      </w:pPr>
      <w:r>
        <w:t xml:space="preserve">البنية التحتية</w:t>
      </w:r>
    </w:p>
    <w:p>
      <w:pPr>
        <w:numPr>
          <w:ilvl w:val="0"/>
          <w:numId w:val="1007"/>
        </w:numPr>
        <w:pStyle w:val="Compact"/>
        <w:bidi w:val="1"/>
        <w:jc w:val="right"/>
      </w:pPr>
      <w:r>
        <w:t xml:space="preserve">☐ طلب بـ</w:t>
      </w:r>
      <w:r>
        <w:t xml:space="preserve"> </w:t>
      </w:r>
      <w:r>
        <w:rPr>
          <w:rStyle w:val="VerbatimChar"/>
        </w:rPr>
        <w:t xml:space="preserve">Host: beapplicants.itp.moi.gov.iq</w:t>
      </w:r>
      <w:r>
        <w:t xml:space="preserve"> </w:t>
      </w:r>
      <w:r>
        <w:t xml:space="preserve">إلى Backend الداخلي يُرفض (4xx)</w:t>
      </w:r>
    </w:p>
    <w:p>
      <w:pPr>
        <w:numPr>
          <w:ilvl w:val="0"/>
          <w:numId w:val="1007"/>
        </w:numPr>
        <w:pStyle w:val="Compact"/>
        <w:bidi w:val="1"/>
        <w:jc w:val="right"/>
      </w:pPr>
      <w:r>
        <w:t xml:space="preserve">☐ طلب بـ</w:t>
      </w:r>
      <w:r>
        <w:t xml:space="preserve"> </w:t>
      </w:r>
      <w:r>
        <w:rPr>
          <w:rStyle w:val="VerbatimChar"/>
        </w:rPr>
        <w:t xml:space="preserve">Host</w:t>
      </w:r>
      <w:r>
        <w:t xml:space="preserve"> </w:t>
      </w:r>
      <w:r>
        <w:t xml:space="preserve">عشوائي يُرفض</w:t>
      </w:r>
    </w:p>
    <w:p>
      <w:pPr>
        <w:numPr>
          <w:ilvl w:val="0"/>
          <w:numId w:val="1007"/>
        </w:numPr>
        <w:pStyle w:val="Compact"/>
        <w:bidi w:val="1"/>
        <w:jc w:val="right"/>
      </w:pPr>
      <w:r>
        <w:t xml:space="preserve">☐ Backend غير reachable مباشرة من الإنternet</w:t>
      </w:r>
    </w:p>
    <w:p>
      <w:pPr>
        <w:numPr>
          <w:ilvl w:val="0"/>
          <w:numId w:val="1007"/>
        </w:numPr>
        <w:pStyle w:val="Compact"/>
        <w:bidi w:val="1"/>
        <w:jc w:val="right"/>
      </w:pPr>
      <w:r>
        <w:t xml:space="preserve">☐</w:t>
      </w:r>
      <w:r>
        <w:t xml:space="preserve"> </w:t>
      </w:r>
      <w:r>
        <w:rPr>
          <w:rStyle w:val="VerbatimChar"/>
        </w:rPr>
        <w:t xml:space="preserve">server_name</w:t>
      </w:r>
      <w:r>
        <w:t xml:space="preserve"> </w:t>
      </w:r>
      <w:r>
        <w:t xml:space="preserve">/ virtual host محدّد صراحة</w:t>
      </w:r>
    </w:p>
    <w:p>
      <w:pPr>
        <w:numPr>
          <w:ilvl w:val="0"/>
          <w:numId w:val="1007"/>
        </w:numPr>
        <w:pStyle w:val="Compact"/>
        <w:bidi w:val="1"/>
        <w:jc w:val="right"/>
      </w:pPr>
      <w:r>
        <w:t xml:space="preserve">☐ Firewall rules تمنع الوصول المباشر</w:t>
      </w:r>
    </w:p>
    <w:bookmarkEnd w:id="33"/>
    <w:bookmarkStart w:id="34" w:name="المصادقة"/>
    <w:p>
      <w:pPr>
        <w:pStyle w:val="Heading3"/>
        <w:bidi w:val="1"/>
        <w:jc w:val="right"/>
      </w:pPr>
      <w:r>
        <w:t xml:space="preserve">المصادقة</w:t>
      </w:r>
    </w:p>
    <w:p>
      <w:pPr>
        <w:numPr>
          <w:ilvl w:val="0"/>
          <w:numId w:val="1008"/>
        </w:numPr>
        <w:pStyle w:val="Compact"/>
        <w:bidi w:val="1"/>
        <w:jc w:val="right"/>
      </w:pPr>
      <w:r>
        <w:t xml:space="preserve">☐ signup / login / OTP تعمل فقط عبر المسار العام المصرّح</w:t>
      </w:r>
    </w:p>
    <w:p>
      <w:pPr>
        <w:numPr>
          <w:ilvl w:val="0"/>
          <w:numId w:val="1008"/>
        </w:numPr>
        <w:pStyle w:val="Compact"/>
        <w:bidi w:val="1"/>
        <w:jc w:val="right"/>
      </w:pPr>
      <w:r>
        <w:t xml:space="preserve">☐ Rate limiting على OTP و login</w:t>
      </w:r>
    </w:p>
    <w:p>
      <w:pPr>
        <w:numPr>
          <w:ilvl w:val="0"/>
          <w:numId w:val="1008"/>
        </w:numPr>
        <w:pStyle w:val="Compact"/>
        <w:bidi w:val="1"/>
        <w:jc w:val="right"/>
      </w:pPr>
      <w:r>
        <w:t xml:space="preserve">☐ JWT يحتوي claims صحيحة (</w:t>
      </w:r>
      <w:r>
        <w:rPr>
          <w:rStyle w:val="VerbatimChar"/>
        </w:rPr>
        <w:t xml:space="preserve">sub</w:t>
      </w:r>
      <w:r>
        <w:t xml:space="preserve">,</w:t>
      </w:r>
      <w:r>
        <w:t xml:space="preserve"> </w:t>
      </w:r>
      <w:r>
        <w:rPr>
          <w:rStyle w:val="VerbatimChar"/>
        </w:rPr>
        <w:t xml:space="preserve">role</w:t>
      </w:r>
      <w:r>
        <w:t xml:space="preserve">, expiry)</w:t>
      </w:r>
    </w:p>
    <w:bookmarkEnd w:id="34"/>
    <w:bookmarkStart w:id="35" w:name="التفويض"/>
    <w:p>
      <w:pPr>
        <w:pStyle w:val="Heading3"/>
        <w:bidi w:val="1"/>
        <w:jc w:val="right"/>
      </w:pPr>
      <w:r>
        <w:t xml:space="preserve">التفويض</w:t>
      </w:r>
    </w:p>
    <w:p>
      <w:pPr>
        <w:numPr>
          <w:ilvl w:val="0"/>
          <w:numId w:val="1009"/>
        </w:numPr>
        <w:pStyle w:val="Compact"/>
        <w:bidi w:val="1"/>
        <w:jc w:val="right"/>
      </w:pPr>
      <w:r>
        <w:t xml:space="preserve">☐</w:t>
      </w:r>
      <w:r>
        <w:t xml:space="preserve"> </w:t>
      </w:r>
      <w:r>
        <w:rPr>
          <w:rStyle w:val="VerbatimChar"/>
        </w:rPr>
        <w:t xml:space="preserve">GET /requests/{requestId}</w:t>
      </w:r>
      <w:r>
        <w:t xml:space="preserve"> </w:t>
      </w:r>
      <w:r>
        <w:t xml:space="preserve">لطلب لا يخص المستخدم → 403 Forbidden</w:t>
      </w:r>
    </w:p>
    <w:p>
      <w:pPr>
        <w:numPr>
          <w:ilvl w:val="0"/>
          <w:numId w:val="1009"/>
        </w:numPr>
        <w:pStyle w:val="Compact"/>
        <w:bidi w:val="1"/>
        <w:jc w:val="right"/>
      </w:pPr>
      <w:r>
        <w:t xml:space="preserve">☐</w:t>
      </w:r>
      <w:r>
        <w:t xml:space="preserve"> </w:t>
      </w:r>
      <w:r>
        <w:rPr>
          <w:rStyle w:val="VerbatimChar"/>
        </w:rPr>
        <w:t xml:space="preserve">GET /requests/{requestId}</w:t>
      </w:r>
      <w:r>
        <w:t xml:space="preserve"> </w:t>
      </w:r>
      <w:r>
        <w:t xml:space="preserve">لطلب يخص المستخدم → 200 OK ببياناته فقط</w:t>
      </w:r>
    </w:p>
    <w:p>
      <w:pPr>
        <w:numPr>
          <w:ilvl w:val="0"/>
          <w:numId w:val="1009"/>
        </w:numPr>
        <w:pStyle w:val="Compact"/>
        <w:bidi w:val="1"/>
        <w:jc w:val="right"/>
      </w:pPr>
      <w:r>
        <w:t xml:space="preserve">☐</w:t>
      </w:r>
      <w:r>
        <w:t xml:space="preserve"> </w:t>
      </w:r>
      <w:r>
        <w:rPr>
          <w:rStyle w:val="VerbatimChar"/>
        </w:rPr>
        <w:t xml:space="preserve">POST /registrations/search</w:t>
      </w:r>
      <w:r>
        <w:t xml:space="preserve"> </w:t>
      </w:r>
      <w:r>
        <w:t xml:space="preserve">مع</w:t>
      </w:r>
      <w:r>
        <w:t xml:space="preserve"> </w:t>
      </w:r>
      <w:r>
        <w:rPr>
          <w:rStyle w:val="VerbatimChar"/>
        </w:rPr>
        <w:t xml:space="preserve">{}</w:t>
      </w:r>
      <w:r>
        <w:t xml:space="preserve"> </w:t>
      </w:r>
      <w:r>
        <w:t xml:space="preserve">→ سجلات المستخدم الحالي فقط</w:t>
      </w:r>
    </w:p>
    <w:p>
      <w:pPr>
        <w:numPr>
          <w:ilvl w:val="0"/>
          <w:numId w:val="1009"/>
        </w:numPr>
        <w:pStyle w:val="Compact"/>
        <w:bidi w:val="1"/>
        <w:jc w:val="right"/>
      </w:pPr>
      <w:r>
        <w:t xml:space="preserve">☐ enumeration لـ</w:t>
      </w:r>
      <w:r>
        <w:t xml:space="preserve"> </w:t>
      </w:r>
      <w:r>
        <w:rPr>
          <w:rStyle w:val="VerbatimChar"/>
        </w:rPr>
        <w:t xml:space="preserve">requestId</w:t>
      </w:r>
      <w:r>
        <w:t xml:space="preserve"> </w:t>
      </w:r>
      <w:r>
        <w:t xml:space="preserve">متسلسل لا يكشف بيانات غيره</w:t>
      </w:r>
    </w:p>
    <w:p>
      <w:pPr>
        <w:numPr>
          <w:ilvl w:val="0"/>
          <w:numId w:val="1009"/>
        </w:numPr>
        <w:pStyle w:val="Compact"/>
        <w:bidi w:val="1"/>
        <w:jc w:val="right"/>
      </w:pPr>
      <w:r>
        <w:t xml:space="preserve">☐ كل endpoint يتحقق من Object-level authorization</w:t>
      </w:r>
    </w:p>
    <w:bookmarkEnd w:id="35"/>
    <w:bookmarkStart w:id="36" w:name="defense-in-depth"/>
    <w:p>
      <w:pPr>
        <w:pStyle w:val="Heading3"/>
        <w:bidi w:val="1"/>
        <w:jc w:val="right"/>
      </w:pPr>
      <w:r>
        <w:t xml:space="preserve">Defense in Depth</w:t>
      </w:r>
    </w:p>
    <w:p>
      <w:pPr>
        <w:numPr>
          <w:ilvl w:val="0"/>
          <w:numId w:val="1010"/>
        </w:numPr>
        <w:pStyle w:val="Compact"/>
        <w:bidi w:val="1"/>
        <w:jc w:val="right"/>
      </w:pPr>
      <w:r>
        <w:t xml:space="preserve">☐ WAF يسجّل / يحظر Host manipulation</w:t>
      </w:r>
    </w:p>
    <w:p>
      <w:pPr>
        <w:numPr>
          <w:ilvl w:val="0"/>
          <w:numId w:val="1010"/>
        </w:numPr>
        <w:pStyle w:val="Compact"/>
        <w:bidi w:val="1"/>
        <w:jc w:val="right"/>
      </w:pPr>
      <w:r>
        <w:t xml:space="preserve">☐ Alerts عند محاولات IDOR متكررة</w:t>
      </w:r>
    </w:p>
    <w:p>
      <w:pPr>
        <w:numPr>
          <w:ilvl w:val="0"/>
          <w:numId w:val="1010"/>
        </w:numPr>
        <w:pStyle w:val="Compact"/>
        <w:bidi w:val="1"/>
        <w:jc w:val="right"/>
      </w:pPr>
      <w:r>
        <w:t xml:space="preserve">☐ Retest كامل من فريق الاختبار الأصلي</w:t>
      </w:r>
    </w:p>
    <w:bookmarkEnd w:id="36"/>
    <w:bookmarkStart w:id="37" w:name="اختبارات-إضافية"/>
    <w:p>
      <w:pPr>
        <w:pStyle w:val="Heading3"/>
        <w:bidi w:val="1"/>
        <w:jc w:val="right"/>
      </w:pPr>
      <w:r>
        <w:t xml:space="preserve">اختبارات إضافية</w:t>
      </w:r>
    </w:p>
    <w:p>
      <w:pPr>
        <w:numPr>
          <w:ilvl w:val="0"/>
          <w:numId w:val="1011"/>
        </w:numPr>
        <w:pStyle w:val="Compact"/>
        <w:bidi w:val="1"/>
        <w:jc w:val="right"/>
      </w:pPr>
      <w:r>
        <w:t xml:space="preserve">☐ endpoints كتابة (PUT / PATCH / DELETE) لنفس ثغرات BAC / IDOR</w:t>
      </w:r>
    </w:p>
    <w:p>
      <w:pPr>
        <w:numPr>
          <w:ilvl w:val="0"/>
          <w:numId w:val="1011"/>
        </w:numPr>
        <w:pStyle w:val="Compact"/>
        <w:bidi w:val="1"/>
        <w:jc w:val="right"/>
      </w:pPr>
      <w:r>
        <w:t xml:space="preserve">☐ JWT manipulation (تغيير</w:t>
      </w:r>
      <w:r>
        <w:t xml:space="preserve"> </w:t>
      </w:r>
      <w:r>
        <w:rPr>
          <w:rStyle w:val="VerbatimChar"/>
        </w:rPr>
        <w:t xml:space="preserve">sub</w:t>
      </w:r>
      <w:r>
        <w:t xml:space="preserve">, algorithm none, expiry)</w:t>
      </w:r>
    </w:p>
    <w:p>
      <w:pPr>
        <w:numPr>
          <w:ilvl w:val="0"/>
          <w:numId w:val="1011"/>
        </w:numPr>
        <w:pStyle w:val="Compact"/>
        <w:bidi w:val="1"/>
        <w:jc w:val="right"/>
      </w:pPr>
      <w:r>
        <w:t xml:space="preserve">☐ mass assignment في signup / search</w:t>
      </w:r>
    </w:p>
    <w:p>
      <w:pPr>
        <w:bidi w:val="1"/>
        <w:jc w:val="right"/>
      </w:pPr>
      <w:r>
        <w:pict>
          <v:rect style="width:0;height:1.5pt" o:hralign="center" o:hrstd="t" o:hr="t"/>
        </w:pict>
      </w:r>
    </w:p>
    <w:bookmarkEnd w:id="37"/>
    <w:bookmarkEnd w:id="38"/>
    <w:bookmarkStart w:id="39" w:name="الخلاصة"/>
    <w:p>
      <w:pPr>
        <w:pStyle w:val="Heading2"/>
        <w:bidi w:val="1"/>
        <w:jc w:val="right"/>
      </w:pPr>
      <w:r>
        <w:t xml:space="preserve">8. الخلاصة</w:t>
      </w:r>
    </w:p>
    <w:p>
      <w:pPr>
        <w:pStyle w:val="FirstParagraph"/>
        <w:bidi w:val="1"/>
        <w:jc w:val="right"/>
      </w:pPr>
      <w:r>
        <w:t xml:space="preserve">التقرير يكشف</w:t>
      </w:r>
      <w:r>
        <w:t xml:space="preserve"> </w:t>
      </w:r>
      <w:r>
        <w:rPr>
          <w:bCs/>
          <w:b/>
        </w:rPr>
        <w:t xml:space="preserve">سلسلة هجوم متكاملة</w:t>
      </w:r>
      <w:r>
        <w:t xml:space="preserve"> </w:t>
      </w:r>
      <w:r>
        <w:t xml:space="preserve">وليس ثغرة منفردة:</w:t>
      </w:r>
    </w:p>
    <w:p>
      <w:pPr>
        <w:numPr>
          <w:ilvl w:val="0"/>
          <w:numId w:val="1012"/>
        </w:numPr>
        <w:pStyle w:val="Compact"/>
        <w:bidi w:val="1"/>
        <w:jc w:val="right"/>
      </w:pPr>
      <w:r>
        <w:rPr>
          <w:bCs/>
          <w:b/>
        </w:rPr>
        <w:t xml:space="preserve">Misconfiguration (Host)</w:t>
      </w:r>
      <w:r>
        <w:t xml:space="preserve"> </w:t>
      </w:r>
      <w:r>
        <w:t xml:space="preserve">→ تجاوز العزل بين الطبقات</w:t>
      </w:r>
    </w:p>
    <w:p>
      <w:pPr>
        <w:numPr>
          <w:ilvl w:val="0"/>
          <w:numId w:val="1012"/>
        </w:numPr>
        <w:pStyle w:val="Compact"/>
        <w:bidi w:val="1"/>
        <w:jc w:val="right"/>
      </w:pPr>
      <w:r>
        <w:rPr>
          <w:bCs/>
          <w:b/>
        </w:rPr>
        <w:t xml:space="preserve">Broken Access Control</w:t>
      </w:r>
      <w:r>
        <w:t xml:space="preserve"> </w:t>
      </w:r>
      <w:r>
        <w:t xml:space="preserve">→ قراءة سجلات جميع المستخدمين</w:t>
      </w:r>
    </w:p>
    <w:p>
      <w:pPr>
        <w:numPr>
          <w:ilvl w:val="0"/>
          <w:numId w:val="1012"/>
        </w:numPr>
        <w:pStyle w:val="Compact"/>
        <w:bidi w:val="1"/>
        <w:jc w:val="right"/>
      </w:pPr>
      <w:r>
        <w:rPr>
          <w:bCs/>
          <w:b/>
        </w:rPr>
        <w:t xml:space="preserve">IDOR</w:t>
      </w:r>
      <w:r>
        <w:t xml:space="preserve"> </w:t>
      </w:r>
      <w:r>
        <w:t xml:space="preserve">→ قراءة طلبات مواطنين محددين</w:t>
      </w:r>
    </w:p>
    <w:p>
      <w:pPr>
        <w:pStyle w:val="FirstParagraph"/>
        <w:bidi w:val="1"/>
        <w:jc w:val="right"/>
      </w:pPr>
      <w:r>
        <w:t xml:space="preserve">إغلاق Host manipulation وحده</w:t>
      </w:r>
      <w:r>
        <w:t xml:space="preserve"> </w:t>
      </w:r>
      <w:r>
        <w:rPr>
          <w:bCs/>
          <w:b/>
        </w:rPr>
        <w:t xml:space="preserve">لا يكفي</w:t>
      </w:r>
      <w:r>
        <w:t xml:space="preserve"> </w:t>
      </w:r>
      <w:r>
        <w:t xml:space="preserve">إذا بقي BAC / IDOR في الكود، وإصلاح الكود وحده</w:t>
      </w:r>
      <w:r>
        <w:t xml:space="preserve"> </w:t>
      </w:r>
      <w:r>
        <w:rPr>
          <w:bCs/>
          <w:b/>
        </w:rPr>
        <w:t xml:space="preserve">لا يكفي</w:t>
      </w:r>
      <w:r>
        <w:t xml:space="preserve"> </w:t>
      </w:r>
      <w:r>
        <w:t xml:space="preserve">إذا بقي Backend exposed. يتطلب الإصلاح</w:t>
      </w:r>
      <w:r>
        <w:t xml:space="preserve"> </w:t>
      </w:r>
      <w:r>
        <w:rPr>
          <w:bCs/>
          <w:b/>
        </w:rPr>
        <w:t xml:space="preserve">تنسيقاً بين البنية التحتية والتطبيق</w:t>
      </w:r>
      <w:r>
        <w:t xml:space="preserve">، ثم retest قبل إعلان إغلاق الحادث.</w:t>
      </w:r>
    </w:p>
    <w:p>
      <w:pPr>
        <w:bidi w:val="1"/>
        <w:jc w:val="right"/>
      </w:pPr>
      <w:r>
        <w:pict>
          <v:rect style="width:0;height:1.5pt" o:hralign="center" o:hrstd="t" o:hr="t"/>
        </w:pict>
      </w:r>
    </w:p>
    <w:bookmarkEnd w:id="39"/>
    <w:bookmarkStart w:id="40" w:name="ملاحظات-على-التقرير-الأصلي"/>
    <w:p>
      <w:pPr>
        <w:pStyle w:val="Heading2"/>
        <w:bidi w:val="1"/>
        <w:jc w:val="right"/>
      </w:pPr>
      <w:r>
        <w:t xml:space="preserve">9. ملاحظات على التقرير الأصلي</w:t>
      </w:r>
    </w:p>
    <w:p>
      <w:pPr>
        <w:numPr>
          <w:ilvl w:val="0"/>
          <w:numId w:val="1013"/>
        </w:numPr>
        <w:pStyle w:val="Compact"/>
        <w:bidi w:val="1"/>
        <w:jc w:val="right"/>
      </w:pPr>
      <w:r>
        <w:t xml:space="preserve">لا يذكر CVE أو إصدارات برمجيات — الثغرات تكوينية ومنطقية</w:t>
      </w:r>
    </w:p>
    <w:p>
      <w:pPr>
        <w:numPr>
          <w:ilvl w:val="0"/>
          <w:numId w:val="1013"/>
        </w:numPr>
        <w:pStyle w:val="Compact"/>
        <w:bidi w:val="1"/>
        <w:jc w:val="right"/>
      </w:pPr>
      <w:r>
        <w:t xml:space="preserve">POC يعتمد على</w:t>
      </w:r>
      <w:r>
        <w:t xml:space="preserve"> </w:t>
      </w:r>
      <w:r>
        <w:rPr>
          <w:rStyle w:val="VerbatimChar"/>
        </w:rPr>
        <w:t xml:space="preserve">X-Digital-Channel: 2</w:t>
      </w:r>
      <w:r>
        <w:t xml:space="preserve"> </w:t>
      </w:r>
      <w:r>
        <w:t xml:space="preserve">— يستحق التحقق هل هو شرط للاستغلال</w:t>
      </w:r>
    </w:p>
    <w:p>
      <w:pPr>
        <w:numPr>
          <w:ilvl w:val="0"/>
          <w:numId w:val="1013"/>
        </w:numPr>
        <w:pStyle w:val="Compact"/>
        <w:bidi w:val="1"/>
        <w:jc w:val="right"/>
      </w:pPr>
      <w:r>
        <w:t xml:space="preserve">يركز على القراءة — يُفضّل اختبار CRUD كامل بعد الإصلاح</w:t>
      </w:r>
    </w:p>
    <w:p>
      <w:pPr>
        <w:bidi w:val="1"/>
        <w:jc w:val="right"/>
      </w:pPr>
      <w:r>
        <w:pict>
          <v:rect style="width:0;height:1.5pt" o:hralign="center" o:hrstd="t" o:hr="t"/>
        </w:pict>
      </w:r>
    </w:p>
    <w:p>
      <w:pPr>
        <w:pStyle w:val="FirstParagraph"/>
        <w:bidi w:val="1"/>
        <w:jc w:val="right"/>
      </w:pPr>
      <w:r>
        <w:rPr>
          <w:iCs/>
          <w:i/>
        </w:rPr>
        <w:t xml:space="preserve">مصدر التحليل: تقرير اختبار الاختراق المرفق — بوابة المراجعين / المرور العراقي — 13/8/2026</w:t>
      </w:r>
    </w:p>
    <w:bookmarkEnd w:id="40"/>
    <w:bookmarkEnd w:id="41"/>
    <w:sectPr>
      <w:bidi w:val="1"/>
    </w:sectPr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Symbol">
    <w:panose1 w:val="02000500000000000000"/>
    <w:charset w:val="02"/>
    <w:family w:val="auto"/>
    <w:pitch w:val="variable"/>
    <w:sig w:usb0="00000000" w:usb1="00000000" w:usb2="00010000" w:usb3="00000000" w:csb0="80000000" w:csb1="00000000"/>
  </w:font>
  <w:font w:name="Times New Roman">
    <w:panose1 w:val="02020603050405020304"/>
    <w:charset w:val="00"/>
    <w:family w:val="auto"/>
    <w:pitch w:val="variable"/>
    <w:sig w:usb0="00000003" w:usb1="00000000" w:usb2="00000000" w:usb3="00000000" w:csb0="00000001" w:csb1="00000000"/>
  </w:font>
  <w:font w:name="Courier New">
    <w:panose1 w:val="02070309020205020404"/>
    <w:charset w:val="00"/>
    <w:family w:val="auto"/>
    <w:pitch w:val="variable"/>
    <w:sig w:usb0="00000003" w:usb1="00000000" w:usb2="00000000" w:usb3="00000000" w:csb0="00000001" w:csb1="00000000"/>
  </w:font>
  <w:font w:name="Wingdings">
    <w:panose1 w:val="05020102010804080708"/>
    <w:charset w:val="02"/>
    <w:family w:val="auto"/>
    <w:pitch w:val="variable"/>
    <w:sig w:usb0="00000000" w:usb1="00000000" w:usb2="00010000" w:usb3="00000000" w:csb0="80000000" w:csb1="00000000"/>
  </w:font>
  <w:font w:name="Cambria">
    <w:panose1 w:val="02040503050406030204"/>
    <w:charset w:val="00"/>
    <w:family w:val="auto"/>
    <w:pitch w:val="variable"/>
    <w:sig w:usb0="00000003" w:usb1="00000000" w:usb2="00000000" w:usb3="00000000" w:csb0="00000001" w:csb1="00000000"/>
  </w:font>
  <w:font w:name="Calibri">
    <w:panose1 w:val="020F0502020204030204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00000003" w:usb1="00000000" w:usb2="00000000" w:usb3="00000000" w:csb0="00000001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A990"/>
    <w:multiLevelType w:val="multilevel"/>
    <w:lvl w:ilvl="0">
      <w:numFmt w:val="bullet"/>
      <w:lvlText w:val=" "/>
      <w:lvlJc w:val="left"/>
      <w:pPr>
        <w:ind w:left="720" w:hanging="480"/>
      </w:pPr>
    </w:lvl>
    <w:lvl w:ilvl="1">
      <w:numFmt w:val="bullet"/>
      <w:lvlText w:val=" "/>
      <w:lvlJc w:val="left"/>
      <w:pPr>
        <w:ind w:left="1440" w:hanging="480"/>
      </w:pPr>
    </w:lvl>
    <w:lvl w:ilvl="2">
      <w:numFmt w:val="bullet"/>
      <w:lvlText w:val=" "/>
      <w:lvlJc w:val="left"/>
      <w:pPr>
        <w:ind w:left="2160" w:hanging="480"/>
      </w:pPr>
    </w:lvl>
    <w:lvl w:ilvl="3">
      <w:numFmt w:val="bullet"/>
      <w:lvlText w:val=" "/>
      <w:lvlJc w:val="left"/>
      <w:pPr>
        <w:ind w:left="2880" w:hanging="480"/>
      </w:pPr>
    </w:lvl>
    <w:lvl w:ilvl="4">
      <w:numFmt w:val="bullet"/>
      <w:lvlText w:val=" "/>
      <w:lvlJc w:val="left"/>
      <w:pPr>
        <w:ind w:left="3600" w:hanging="480"/>
      </w:pPr>
    </w:lvl>
    <w:lvl w:ilvl="5">
      <w:numFmt w:val="bullet"/>
      <w:lvlText w:val=" "/>
      <w:lvlJc w:val="left"/>
      <w:pPr>
        <w:ind w:left="4320" w:hanging="480"/>
      </w:pPr>
    </w:lvl>
    <w:lvl w:ilvl="6">
      <w:numFmt w:val="bullet"/>
      <w:lvlText w:val=" "/>
      <w:lvlJc w:val="left"/>
      <w:pPr>
        <w:ind w:left="5040" w:hanging="480"/>
      </w:pPr>
    </w:lvl>
    <w:lvl w:ilvl="7">
      <w:numFmt w:val="bullet"/>
      <w:lvlText w:val=" "/>
      <w:lvlJc w:val="left"/>
      <w:pPr>
        <w:ind w:left="5760" w:hanging="480"/>
      </w:pPr>
    </w:lvl>
    <w:lvl w:ilvl="8">
      <w:numFmt w:val="bullet"/>
      <w:lvlText w:val=" "/>
      <w:lvlJc w:val="left"/>
      <w:pPr>
        <w:ind w:left="6480" w:hanging="480"/>
      </w:pPr>
    </w:lvl>
  </w:abstractNum>
  <w:abstractNum w:abstractNumId="991">
    <w:nsid w:val="A991"/>
    <w:multiLevelType w:val="multilevel"/>
    <w:lvl w:ilvl="0">
      <w:numFmt w:val="bullet"/>
      <w:lvlText w:val="•"/>
      <w:lvlJc w:val="left"/>
      <w:pPr>
        <w:ind w:left="720" w:hanging="480"/>
      </w:pPr>
    </w:lvl>
    <w:lvl w:ilvl="1">
      <w:numFmt w:val="bullet"/>
      <w:lvlText w:val="–"/>
      <w:lvlJc w:val="left"/>
      <w:pPr>
        <w:ind w:left="1440" w:hanging="480"/>
      </w:pPr>
    </w:lvl>
    <w:lvl w:ilvl="2">
      <w:numFmt w:val="bullet"/>
      <w:lvlText w:val="•"/>
      <w:lvlJc w:val="left"/>
      <w:pPr>
        <w:ind w:left="2160" w:hanging="480"/>
      </w:pPr>
    </w:lvl>
    <w:lvl w:ilvl="3">
      <w:numFmt w:val="bullet"/>
      <w:lvlText w:val="–"/>
      <w:lvlJc w:val="left"/>
      <w:pPr>
        <w:ind w:left="2880" w:hanging="480"/>
      </w:pPr>
    </w:lvl>
    <w:lvl w:ilvl="4">
      <w:numFmt w:val="bullet"/>
      <w:lvlText w:val="•"/>
      <w:lvlJc w:val="left"/>
      <w:pPr>
        <w:ind w:left="3600" w:hanging="480"/>
      </w:pPr>
    </w:lvl>
    <w:lvl w:ilvl="5">
      <w:numFmt w:val="bullet"/>
      <w:lvlText w:val="–"/>
      <w:lvlJc w:val="left"/>
      <w:pPr>
        <w:ind w:left="4320" w:hanging="480"/>
      </w:pPr>
    </w:lvl>
    <w:lvl w:ilvl="6">
      <w:numFmt w:val="bullet"/>
      <w:lvlText w:val="•"/>
      <w:lvlJc w:val="left"/>
      <w:pPr>
        <w:ind w:left="5040" w:hanging="480"/>
      </w:pPr>
    </w:lvl>
    <w:lvl w:ilvl="7">
      <w:numFmt w:val="bullet"/>
      <w:lvlText w:val="–"/>
      <w:lvlJc w:val="left"/>
      <w:pPr>
        <w:ind w:left="5760" w:hanging="480"/>
      </w:pPr>
    </w:lvl>
    <w:lvl w:ilvl="8">
      <w:numFmt w:val="bullet"/>
      <w:lvlText w:val="•"/>
      <w:lvlJc w:val="left"/>
      <w:pPr>
        <w:ind w:left="6480" w:hanging="480"/>
      </w:pPr>
    </w:lvl>
  </w:abstractNum>
  <w:abstractNum w:abstractNumId="99411">
    <w:nsid w:val="A99411"/>
    <w:multiLevelType w:val="multilevel"/>
    <w:lvl w:ilvl="0">
      <w:start w:val="1"/>
      <w:numFmt w:val="decimal"/>
      <w:lvlText w:val="%1."/>
      <w:lvlJc w:val="left"/>
      <w:pPr>
        <w:ind w:left="720" w:hanging="480"/>
      </w:pPr>
    </w:lvl>
    <w:lvl w:ilvl="1">
      <w:start w:val="1"/>
      <w:numFmt w:val="decimal"/>
      <w:lvlText w:val="%2."/>
      <w:lvlJc w:val="left"/>
      <w:pPr>
        <w:ind w:left="1440" w:hanging="480"/>
      </w:pPr>
    </w:lvl>
    <w:lvl w:ilvl="2">
      <w:start w:val="1"/>
      <w:numFmt w:val="decimal"/>
      <w:lvlText w:val="%3."/>
      <w:lvlJc w:val="left"/>
      <w:pPr>
        <w:ind w:left="2160" w:hanging="480"/>
      </w:pPr>
    </w:lvl>
    <w:lvl w:ilvl="3">
      <w:start w:val="1"/>
      <w:numFmt w:val="decimal"/>
      <w:lvlText w:val="%4."/>
      <w:lvlJc w:val="left"/>
      <w:pPr>
        <w:ind w:left="2880" w:hanging="480"/>
      </w:pPr>
    </w:lvl>
    <w:lvl w:ilvl="4">
      <w:start w:val="1"/>
      <w:numFmt w:val="decimal"/>
      <w:lvlText w:val="%5."/>
      <w:lvlJc w:val="left"/>
      <w:pPr>
        <w:ind w:left="3600" w:hanging="480"/>
      </w:pPr>
    </w:lvl>
    <w:lvl w:ilvl="5">
      <w:start w:val="1"/>
      <w:numFmt w:val="decimal"/>
      <w:lvlText w:val="%6."/>
      <w:lvlJc w:val="left"/>
      <w:pPr>
        <w:ind w:left="4320" w:hanging="480"/>
      </w:pPr>
    </w:lvl>
    <w:lvl w:ilvl="6">
      <w:start w:val="1"/>
      <w:numFmt w:val="decimal"/>
      <w:lvlText w:val="%7."/>
      <w:lvlJc w:val="left"/>
      <w:pPr>
        <w:ind w:left="5040" w:hanging="480"/>
      </w:pPr>
    </w:lvl>
    <w:lvl w:ilvl="7">
      <w:start w:val="1"/>
      <w:numFmt w:val="decimal"/>
      <w:lvlText w:val="%8."/>
      <w:lvlJc w:val="left"/>
      <w:pPr>
        <w:ind w:left="5760" w:hanging="480"/>
      </w:pPr>
    </w:lvl>
    <w:lvl w:ilvl="8">
      <w:start w:val="1"/>
      <w:numFmt w:val="decimal"/>
      <w:lvlText w:val="%9."/>
      <w:lvlJc w:val="left"/>
      <w:pPr>
        <w:ind w:left="6480" w:hanging="480"/>
      </w:pPr>
    </w:lvl>
  </w:abstractNum>
  <w:num w:numId="1000">
    <w:abstractNumId w:val="990"/>
  </w:num>
  <w:num w:numId="1001">
    <w:abstractNumId w:val="991"/>
  </w:num>
  <w:num w:numId="1002">
    <w:abstractNumId w:val="991"/>
  </w:num>
  <w:num w:numId="1003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04">
    <w:abstractNumId w:val="991"/>
  </w:num>
  <w:num w:numId="1005">
    <w:abstractNumId w:val="991"/>
  </w:num>
  <w:num w:numId="1006">
    <w:abstractNumId w:val="991"/>
  </w:num>
  <w:num w:numId="1007">
    <w:abstractNumId w:val="991"/>
  </w:num>
  <w:num w:numId="1008">
    <w:abstractNumId w:val="991"/>
  </w:num>
  <w:num w:numId="1009">
    <w:abstractNumId w:val="991"/>
  </w:num>
  <w:num w:numId="1010">
    <w:abstractNumId w:val="991"/>
  </w:num>
  <w:num w:numId="1011">
    <w:abstractNumId w:val="991"/>
  </w:num>
  <w:num w:numId="1012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13">
    <w:abstractNumId w:val="991"/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stylePaneFormatFilter w:val="0004"/>
  <w:footnotePr>
    <w:footnote w:id="-1"/>
    <w:footnote w:id="0"/>
  </w:footnotePr>
  <w:rsids>
  </w:rsids>
  <w:clrSchemeMapping w:accent1="accent1" w:accent2="accent2" w:accent3="accent3" w:accent4="accent4" w:accent5="accent5" w:accent6="accent6" w:bg1="light1" w:bg2="light2" w:followedHyperlink="followedHyperlink" w:hyperlink="hyperlink" w:t1="dark1" w:t2="dark2"/>
  <w:zoom w:percent="100"/>
  <w:embedSystemFonts/>
  <w:proofState w:grammar="clean" w:spelling="clean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m:mathPr>
    <m:mathFont m:val="Cambria Math"/>
    <m:brkBin m:val="before"/>
    <m:brkBinSub m:val="--"/>
    <m:smallFrac m:val="0"/>
    <m:dispDef/>
    <m:lMargin m:val="0"/>
    <m:rMargin m:val="0"/>
    <m:wrapRight/>
    <m:intLim m:val="subSup"/>
    <m:naryLim m:val="undOvr"/>
  </m:mathPr>
  <w:themeFontLang w:val="en-US"/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HAnsi" w:hAnsiTheme="minorHAnsi"/>
        <w:sz w:val="24"/>
        <w:szCs w:val="24"/>
        <w:lang w:bidi="ar" w:eastAsia="en-US" w:val="en-US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</w:style>
  <w:style w:styleId="BodyText" w:type="paragraph">
    <w:name w:val="Body Text"/>
    <w:basedOn w:val="Normal"/>
    <w:link w:val="BodyTextChar"/>
    <w:pPr>
      <w:spacing w:after="180" w:before="180"/>
    </w:pPr>
    <w:qFormat/>
  </w:style>
  <w:style w:customStyle="1" w:styleId="FirstParagraph" w:type="paragraph">
    <w:name w:val="First Paragraph"/>
    <w:basedOn w:val="BodyText"/>
    <w:next w:val="BodyText"/>
    <w:qFormat/>
  </w:style>
  <w:style w:customStyle="1" w:styleId="Compact" w:type="paragraph">
    <w:name w:val="Compact"/>
    <w:basedOn w:val="BodyText"/>
    <w:qFormat/>
    <w:pPr>
      <w:spacing w:after="36" w:before="36"/>
    </w:pPr>
  </w:style>
  <w:style w:styleId="Title" w:type="paragraph">
    <w:name w:val="Title"/>
    <w:basedOn w:val="Normal"/>
    <w:next w:val="BodyText"/>
    <w:qFormat/>
    <w:pPr>
      <w:keepNext/>
      <w:keepLines/>
      <w:spacing w:after="240" w:before="480"/>
      <w:jc w:val="center"/>
    </w:pPr>
    <w:rPr>
      <w:rFonts w:asciiTheme="majorHAnsi" w:cstheme="majorBidi" w:eastAsiaTheme="majorEastAsia" w:hAnsiTheme="majorHAnsi"/>
      <w:b/>
      <w:bCs/>
      <w:color w:themeColor="accent1" w:themeShade="B5" w:val="345A8A"/>
      <w:sz w:val="36"/>
      <w:szCs w:val="36"/>
    </w:rPr>
  </w:style>
  <w:style w:styleId="Subtitle" w:type="paragraph">
    <w:name w:val="Subtitle"/>
    <w:basedOn w:val="Title"/>
    <w:next w:val="BodyText"/>
    <w:qFormat/>
    <w:pPr>
      <w:keepNext/>
      <w:keepLines/>
      <w:spacing w:after="240" w:before="240"/>
      <w:jc w:val="center"/>
    </w:pPr>
    <w:rPr>
      <w:sz w:val="30"/>
      <w:szCs w:val="30"/>
    </w:rPr>
  </w:style>
  <w:style w:customStyle="1" w:styleId="Author" w:type="paragraph">
    <w:name w:val="Author"/>
    <w:next w:val="BodyText"/>
    <w:qFormat/>
    <w:pPr>
      <w:keepNext/>
      <w:keepLines/>
      <w:jc w:val="center"/>
    </w:pPr>
  </w:style>
  <w:style w:styleId="Date" w:type="paragraph">
    <w:name w:val="Date"/>
    <w:next w:val="BodyText"/>
    <w:qFormat/>
    <w:pPr>
      <w:keepNext/>
      <w:keepLines/>
      <w:jc w:val="center"/>
    </w:pPr>
  </w:style>
  <w:style w:customStyle="1" w:styleId="AbstractTitle" w:type="paragraph">
    <w:name w:val="Abstract Title"/>
    <w:basedOn w:val="Normal"/>
    <w:next w:val="Abstract"/>
    <w:qFormat/>
    <w:pPr>
      <w:keepNext/>
      <w:keepLines/>
      <w:jc w:val="center"/>
      <w:spacing w:after="0" w:before="300"/>
    </w:pPr>
    <w:rPr>
      <w:sz w:val="20"/>
      <w:szCs w:val="20"/>
      <w:b/>
      <w:color w:val="345A8A"/>
      &gt;
    </w:r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1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uiPriority w:val="9"/>
    <w:qFormat/>
    <w:pPr>
      <w:keepNext/>
      <w:keepLines/>
      <w:spacing w:after="0" w:before="480"/>
      <w:outlineLvl w:val="0"/>
    </w:pPr>
    <w:rPr>
      <w:rFonts w:asciiTheme="majorHAnsi" w:cstheme="majorBidi" w:eastAsiaTheme="majorEastAsia" w:hAnsiTheme="majorHAnsi"/>
      <w:b/>
      <w:bCs/>
      <w:color w:themeColor="accent1" w:val="4F81BD"/>
      <w:sz w:val="32"/>
      <w:szCs w:val="32"/>
    </w:rPr>
  </w:style>
  <w:style w:styleId="Heading2" w:type="paragraph">
    <w:name w:val="Heading 2"/>
    <w:basedOn w:val="Normal"/>
    <w:next w:val="BodyText"/>
    <w:uiPriority w:val="9"/>
    <w:unhideWhenUsed/>
    <w:qFormat/>
    <w:pPr>
      <w:keepNext/>
      <w:keepLines/>
      <w:spacing w:after="0" w:before="200"/>
      <w:outlineLvl w:val="1"/>
    </w:pPr>
    <w:rPr>
      <w:rFonts w:asciiTheme="majorHAnsi" w:cstheme="majorBidi" w:eastAsiaTheme="majorEastAsia" w:hAnsiTheme="majorHAnsi"/>
      <w:b/>
      <w:bCs/>
      <w:color w:themeColor="accent1" w:val="4F81BD"/>
      <w:sz w:val="28"/>
      <w:szCs w:val="28"/>
    </w:rPr>
  </w:style>
  <w:style w:styleId="Heading3" w:type="paragraph">
    <w:name w:val="Heading 3"/>
    <w:basedOn w:val="Normal"/>
    <w:next w:val="BodyText"/>
    <w:uiPriority w:val="9"/>
    <w:unhideWhenUsed/>
    <w:qFormat/>
    <w:pPr>
      <w:keepNext/>
      <w:keepLines/>
      <w:spacing w:after="0" w:before="200"/>
      <w:outlineLvl w:val="2"/>
    </w:pPr>
    <w:rPr>
      <w:rFonts w:asciiTheme="majorHAnsi" w:cstheme="majorBidi" w:eastAsiaTheme="majorEastAsia" w:hAnsiTheme="majorHAnsi"/>
      <w:b/>
      <w:bCs/>
      <w:color w:themeColor="accent1" w:val="4F81BD"/>
      <w:sz w:val="24"/>
      <w:szCs w:val="24"/>
    </w:rPr>
  </w:style>
  <w:style w:styleId="Heading4" w:type="paragraph">
    <w:name w:val="Heading 4"/>
    <w:basedOn w:val="Normal"/>
    <w:next w:val="BodyText"/>
    <w:uiPriority w:val="9"/>
    <w:unhideWhenUsed/>
    <w:qFormat/>
    <w:pPr>
      <w:keepNext/>
      <w:keepLines/>
      <w:spacing w:after="0" w:before="200"/>
      <w:outlineLvl w:val="3"/>
    </w:pPr>
    <w:rPr>
      <w:rFonts w:asciiTheme="majorHAnsi" w:cstheme="majorBidi" w:eastAsiaTheme="majorEastAsia" w:hAnsiTheme="majorHAnsi"/>
      <w:i/>
      <w:bCs/>
      <w:color w:themeColor="accent1" w:val="4F81BD"/>
      <w:sz w:val="24"/>
      <w:szCs w:val="24"/>
    </w:rPr>
  </w:style>
  <w:style w:styleId="Heading5" w:type="paragraph">
    <w:name w:val="Heading 5"/>
    <w:basedOn w:val="Normal"/>
    <w:next w:val="BodyText"/>
    <w:uiPriority w:val="9"/>
    <w:unhideWhenUsed/>
    <w:qFormat/>
    <w:pPr>
      <w:keepNext/>
      <w:keepLines/>
      <w:spacing w:after="0" w:before="200"/>
      <w:outlineLvl w:val="4"/>
    </w:pPr>
    <w:rPr>
      <w:rFonts w:asciiTheme="majorHAnsi" w:cstheme="majorBidi" w:eastAsiaTheme="majorEastAsia" w:hAnsiTheme="majorHAnsi"/>
      <w:iCs/>
      <w:color w:themeColor="accent1" w:val="4F81BD"/>
      <w:sz w:val="24"/>
      <w:szCs w:val="24"/>
    </w:rPr>
  </w:style>
  <w:style w:styleId="Heading6" w:type="paragraph">
    <w:name w:val="Heading 6"/>
    <w:basedOn w:val="Normal"/>
    <w:next w:val="BodyText"/>
    <w:uiPriority w:val="9"/>
    <w:unhideWhenUsed/>
    <w:qFormat/>
    <w:pPr>
      <w:keepNext/>
      <w:keepLines/>
      <w:spacing w:after="0" w:before="200"/>
      <w:outlineLvl w:val="5"/>
    </w:pPr>
    <w:rPr>
      <w:rFonts w:asciiTheme="majorHAnsi" w:cstheme="majorBidi" w:eastAsiaTheme="majorEastAsia" w:hAnsiTheme="majorHAnsi"/>
      <w:color w:themeColor="accent1" w:val="4F81BD"/>
      <w:sz w:val="24"/>
      <w:szCs w:val="24"/>
    </w:rPr>
  </w:style>
  <w:style w:styleId="Heading7" w:type="paragraph">
    <w:name w:val="Heading 7"/>
    <w:basedOn w:val="Normal"/>
    <w:next w:val="BodyText"/>
    <w:uiPriority w:val="9"/>
    <w:unhideWhenUsed/>
    <w:qFormat/>
    <w:pPr>
      <w:keepNext/>
      <w:keepLines/>
      <w:spacing w:after="0" w:before="200"/>
      <w:outlineLvl w:val="6"/>
    </w:pPr>
    <w:rPr>
      <w:rFonts w:asciiTheme="majorHAnsi" w:cstheme="majorBidi" w:eastAsiaTheme="majorEastAsia" w:hAnsiTheme="majorHAnsi"/>
      <w:color w:themeColor="accent1" w:val="4F81BD"/>
      <w:sz w:val="24"/>
      <w:szCs w:val="24"/>
    </w:rPr>
  </w:style>
  <w:style w:styleId="Heading8" w:type="paragraph">
    <w:name w:val="Heading 8"/>
    <w:basedOn w:val="Normal"/>
    <w:next w:val="BodyText"/>
    <w:uiPriority w:val="9"/>
    <w:unhideWhenUsed/>
    <w:qFormat/>
    <w:pPr>
      <w:keepNext/>
      <w:keepLines/>
      <w:spacing w:after="0" w:before="200"/>
      <w:outlineLvl w:val="7"/>
    </w:pPr>
    <w:rPr>
      <w:rFonts w:asciiTheme="majorHAnsi" w:cstheme="majorBidi" w:eastAsiaTheme="majorEastAsia" w:hAnsiTheme="majorHAnsi"/>
      <w:color w:themeColor="accent1" w:val="4F81BD"/>
      <w:sz w:val="24"/>
      <w:szCs w:val="24"/>
    </w:rPr>
  </w:style>
  <w:style w:styleId="Heading9" w:type="paragraph">
    <w:name w:val="Heading 9"/>
    <w:basedOn w:val="Normal"/>
    <w:next w:val="BodyText"/>
    <w:uiPriority w:val="9"/>
    <w:unhideWhenUsed/>
    <w:qFormat/>
    <w:pPr>
      <w:keepNext/>
      <w:keepLines/>
      <w:spacing w:after="0" w:before="200"/>
      <w:outlineLvl w:val="8"/>
    </w:pPr>
    <w:rPr>
      <w:rFonts w:asciiTheme="majorHAnsi" w:cstheme="majorBidi" w:eastAsiaTheme="majorEastAsia" w:hAnsiTheme="majorHAnsi"/>
      <w:color w:themeColor="accent1" w:val="4F81BD"/>
      <w:sz w:val="24"/>
      <w:szCs w:val="24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</w:style>
  <w:style w:styleId="FootnoteText" w:type="paragraph">
    <w:name w:val="Footnote Text"/>
    <w:basedOn w:val="Normal"/>
    <w:next w:val="FootnoteText"/>
    <w:uiPriority w:val="9"/>
    <w:unhideWhenUsed/>
    <w:qFormat/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blPr>
        <w:jc w:val="left"/>
        <w:tblInd w:type="dxa" w:w="0"/>
      </w:tblPr>
      <w:trPr>
        <w:jc w:val="left"/>
      </w:trPr>
      <w:tcPr>
        <w:vAlign w:val="bottom"/>
        <w:tcBorders>
          <w:bottom w:val="single"/>
        </w:tcBorders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nsolas" w:hAnsi="Consolas"/>
      <w:sz w:val="22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365F91"/>
    </w:rPr>
  </w:style>
  <w:style w:type="paragraph" w:customStyle="1" w:styleId="SourceCode">
    <w:name w:val="Source Code"/>
    <w:basedOn w:val="Normal"/>
    <w:link w:val="VerbatimChar"/>
    <w:pPr>
      <w:wordWrap w:val="off"/>
    </w:pPr>
  </w:style>
  <w:style w:type="character" w:customStyle="1" w:styleId="KeywordTok">
    <w:name w:val="KeywordTok"/>
    <w:basedOn w:val="VerbatimChar"/>
    <w:rPr>
      <w:color w:val="007020"/>
      <w:b/>
    </w:rPr>
  </w:style>
  <w:style w:type="character" w:customStyle="1" w:styleId="DataTypeTok">
    <w:name w:val="DataTypeTok"/>
    <w:basedOn w:val="VerbatimChar"/>
    <w:rPr>
      <w:color w:val="902000"/>
    </w:rPr>
  </w:style>
  <w:style w:type="character" w:customStyle="1" w:styleId="DecValTok">
    <w:name w:val="DecValTok"/>
    <w:basedOn w:val="VerbatimChar"/>
    <w:rPr>
      <w:color w:val="40a070"/>
    </w:rPr>
  </w:style>
  <w:style w:type="character" w:customStyle="1" w:styleId="BaseNTok">
    <w:name w:val="BaseNTok"/>
    <w:basedOn w:val="VerbatimChar"/>
    <w:rPr>
      <w:color w:val="40a070"/>
    </w:rPr>
  </w:style>
  <w:style w:type="character" w:customStyle="1" w:styleId="FloatTok">
    <w:name w:val="FloatTok"/>
    <w:basedOn w:val="VerbatimChar"/>
    <w:rPr>
      <w:color w:val="40a070"/>
    </w:rPr>
  </w:style>
  <w:style w:type="character" w:customStyle="1" w:styleId="ConstantTok">
    <w:name w:val="ConstantTok"/>
    <w:basedOn w:val="VerbatimChar"/>
    <w:rPr>
      <w:color w:val="880000"/>
    </w:rPr>
  </w:style>
  <w:style w:type="character" w:customStyle="1" w:styleId="CharTok">
    <w:name w:val="CharTok"/>
    <w:basedOn w:val="VerbatimChar"/>
    <w:rPr>
      <w:color w:val="4070a0"/>
    </w:rPr>
  </w:style>
  <w:style w:type="character" w:customStyle="1" w:styleId="SpecialCharTok">
    <w:name w:val="SpecialCharTok"/>
    <w:basedOn w:val="VerbatimChar"/>
    <w:rPr>
      <w:color w:val="4070a0"/>
    </w:rPr>
  </w:style>
  <w:style w:type="character" w:customStyle="1" w:styleId="StringTok">
    <w:name w:val="StringTok"/>
    <w:basedOn w:val="VerbatimChar"/>
    <w:rPr>
      <w:color w:val="4070a0"/>
    </w:rPr>
  </w:style>
  <w:style w:type="character" w:customStyle="1" w:styleId="VerbatimStringTok">
    <w:name w:val="VerbatimStringTok"/>
    <w:basedOn w:val="VerbatimChar"/>
    <w:rPr>
      <w:color w:val="4070a0"/>
    </w:rPr>
  </w:style>
  <w:style w:type="character" w:customStyle="1" w:styleId="SpecialStringTok">
    <w:name w:val="SpecialStringTok"/>
    <w:basedOn w:val="VerbatimChar"/>
    <w:rPr>
      <w:color w:val="bb6688"/>
    </w:rPr>
  </w:style>
  <w:style w:type="character" w:customStyle="1" w:styleId="ImportTok">
    <w:name w:val="ImportTok"/>
    <w:basedOn w:val="VerbatimChar"/>
    <w:rPr>
      <w:color w:val="008000"/>
      <w:b/>
    </w:rPr>
  </w:style>
  <w:style w:type="character" w:customStyle="1" w:styleId="CommentTok">
    <w:name w:val="CommentTok"/>
    <w:basedOn w:val="VerbatimChar"/>
    <w:rPr>
      <w:color w:val="60a0b0"/>
      <w:i/>
    </w:rPr>
  </w:style>
  <w:style w:type="character" w:customStyle="1" w:styleId="DocumentationTok">
    <w:name w:val="DocumentationTok"/>
    <w:basedOn w:val="VerbatimChar"/>
    <w:rPr>
      <w:color w:val="ba2121"/>
      <w:i/>
    </w:rPr>
  </w:style>
  <w:style w:type="character" w:customStyle="1" w:styleId="AnnotationTok">
    <w:name w:val="AnnotationTok"/>
    <w:basedOn w:val="VerbatimChar"/>
    <w:rPr>
      <w:color w:val="60a0b0"/>
      <w:b/>
      <w:i/>
    </w:rPr>
  </w:style>
  <w:style w:type="character" w:customStyle="1" w:styleId="CommentVarTok">
    <w:name w:val="CommentVarTok"/>
    <w:basedOn w:val="VerbatimChar"/>
    <w:rPr>
      <w:color w:val="60a0b0"/>
      <w:b/>
      <w:i/>
    </w:rPr>
  </w:style>
  <w:style w:type="character" w:customStyle="1" w:styleId="OtherTok">
    <w:name w:val="OtherTok"/>
    <w:basedOn w:val="VerbatimChar"/>
    <w:rPr>
      <w:color w:val="007020"/>
    </w:rPr>
  </w:style>
  <w:style w:type="character" w:customStyle="1" w:styleId="FunctionTok">
    <w:name w:val="FunctionTok"/>
    <w:basedOn w:val="VerbatimChar"/>
    <w:rPr>
      <w:color w:val="06287e"/>
    </w:rPr>
  </w:style>
  <w:style w:type="character" w:customStyle="1" w:styleId="VariableTok">
    <w:name w:val="VariableTok"/>
    <w:basedOn w:val="VerbatimChar"/>
    <w:rPr>
      <w:color w:val="19177c"/>
    </w:rPr>
  </w:style>
  <w:style w:type="character" w:customStyle="1" w:styleId="ControlFlowTok">
    <w:name w:val="ControlFlowTok"/>
    <w:basedOn w:val="VerbatimChar"/>
    <w:rPr>
      <w:color w:val="007020"/>
      <w:b/>
    </w:rPr>
  </w:style>
  <w:style w:type="character" w:customStyle="1" w:styleId="OperatorTok">
    <w:name w:val="OperatorTok"/>
    <w:basedOn w:val="VerbatimChar"/>
    <w:rPr>
      <w:color w:val="666666"/>
    </w:rPr>
  </w:style>
  <w:style w:type="character" w:customStyle="1" w:styleId="BuiltInTok">
    <w:name w:val="BuiltInTok"/>
    <w:basedOn w:val="VerbatimChar"/>
    <w:rPr>
      <w:color w:val="008000"/>
    </w:rPr>
  </w:style>
  <w:style w:type="character" w:customStyle="1" w:styleId="ExtensionTok">
    <w:name w:val="ExtensionTok"/>
    <w:basedOn w:val="VerbatimChar"/>
    <w:rPr/>
  </w:style>
  <w:style w:type="character" w:customStyle="1" w:styleId="PreprocessorTok">
    <w:name w:val="PreprocessorTok"/>
    <w:basedOn w:val="VerbatimChar"/>
    <w:rPr>
      <w:color w:val="bc7a00"/>
    </w:rPr>
  </w:style>
  <w:style w:type="character" w:customStyle="1" w:styleId="AttributeTok">
    <w:name w:val="AttributeTok"/>
    <w:basedOn w:val="VerbatimChar"/>
    <w:rPr>
      <w:color w:val="7d9029"/>
    </w:rPr>
  </w:style>
  <w:style w:type="character" w:customStyle="1" w:styleId="RegionMarkerTok">
    <w:name w:val="RegionMarkerTok"/>
    <w:basedOn w:val="VerbatimChar"/>
    <w:rPr/>
  </w:style>
  <w:style w:type="character" w:customStyle="1" w:styleId="InformationTok">
    <w:name w:val="InformationTok"/>
    <w:basedOn w:val="VerbatimChar"/>
    <w:rPr>
      <w:color w:val="60a0b0"/>
      <w:b/>
      <w:i/>
    </w:rPr>
  </w:style>
  <w:style w:type="character" w:customStyle="1" w:styleId="WarningTok">
    <w:name w:val="WarningTok"/>
    <w:basedOn w:val="VerbatimChar"/>
    <w:rPr>
      <w:color w:val="60a0b0"/>
      <w:b/>
      <w:i/>
    </w:rPr>
  </w:style>
  <w:style w:type="character" w:customStyle="1" w:styleId="AlertTok">
    <w:name w:val="AlertTok"/>
    <w:basedOn w:val="VerbatimChar"/>
    <w:rPr>
      <w:color w:val="ff0000"/>
      <w:b/>
    </w:rPr>
  </w:style>
  <w:style w:type="character" w:customStyle="1" w:styleId="ErrorTok">
    <w:name w:val="ErrorTok"/>
    <w:basedOn w:val="VerbatimChar"/>
    <w:rPr>
      <w:color w:val="ff0000"/>
      <w:b/>
    </w:rPr>
  </w:style>
  <w:style w:type="character" w:customStyle="1" w:styleId="NormalTok">
    <w:name w:val="NormalTok"/>
    <w:basedOn w:val="VerbatimChar"/>
    <w:rPr/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'1.0' encoding='UTF-8' standalone='yes'?>
<Relationships xmlns="http://schemas.openxmlformats.org/package/2006/relationships"><Relationship Id="rId1" Type="http://schemas.openxmlformats.org/officeDocument/2006/relationships/numbering" Target="numbering.xml"/><Relationship Id="rId2" Type="http://schemas.openxmlformats.org/officeDocument/2006/relationships/styles" Target="styles.xml"/><Relationship Id="rId3" Type="http://schemas.openxmlformats.org/officeDocument/2006/relationships/settings" Target="settings.xml"/><Relationship Id="rId4" Type="http://schemas.openxmlformats.org/officeDocument/2006/relationships/webSettings" Target="webSettings.xml"/><Relationship Id="rId5" Type="http://schemas.openxmlformats.org/officeDocument/2006/relationships/fontTable" Target="fontTable.xml"/><Relationship Id="rId6" Type="http://schemas.openxmlformats.org/officeDocument/2006/relationships/theme" Target="theme/theme1.xml"/><Relationship Id="rId7" Type="http://schemas.openxmlformats.org/officeDocument/2006/relationships/footnotes" Target="footnotes.xml"/><Relationship Id="rId8" Type="http://schemas.openxmlformats.org/officeDocument/2006/relationships/comments" Target="comment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creator/>
  <dc:language>ar</dc:language>
  <cp:keywords/>
  <dcterms:created xsi:type="dcterms:W3CDTF">2026-08-16T15:20:46Z</dcterms:created>
  <dcterms:modified xsi:type="dcterms:W3CDTF">2026-08-16T15:20:46Z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