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Arial" w:hAnsi="Arial" w:asciiTheme="minorHAnsi"/>
          <w:b/>
          <w:sz w:val="40"/>
        </w:rPr>
        <w:t>تقرير تحليل اختبار الاختراق</w:t>
      </w:r>
    </w:p>
    <w:p>
      <w:pPr>
        <w:bidi w:val="1"/>
        <w:jc w:val="right"/>
      </w:pPr>
      <w:r>
        <w:rPr>
          <w:rFonts w:ascii="Arial" w:hAnsi="Arial" w:asciiTheme="minorHAnsi"/>
          <w:b/>
          <w:sz w:val="32"/>
        </w:rPr>
        <w:t>بوابة المراجعين — المرور العراقي</w:t>
      </w:r>
    </w:p>
    <w:tbl>
      <w:tblPr>
        <w:tblStyle w:val="TableGrid"/>
        <w:tblW w:type="auto" w:w="0"/>
        <w:tblLook w:firstColumn="1" w:firstRow="1" w:lastColumn="0" w:lastRow="0" w:noHBand="0" w:noVBand="1" w:val="04A0"/>
      </w:tblPr>
      <w:tblGrid>
        <w:gridCol w:w="4703"/>
        <w:gridCol w:w="4703"/>
      </w:tblGrid>
      <w:tr>
        <w:tc>
          <w:tcPr>
            <w:tcW w:type="dxa" w:w="4703"/>
          </w:tcPr>
          <w:p>
            <w:pPr>
              <w:bidi w:val="1"/>
              <w:jc w:val="right"/>
            </w:pPr>
            <w:r>
              <w:rPr>
                <w:b/>
              </w:rPr>
              <w:t>البند</w:t>
            </w:r>
          </w:p>
        </w:tc>
        <w:tc>
          <w:tcPr>
            <w:tcW w:type="dxa" w:w="4703"/>
          </w:tcPr>
          <w:p>
            <w:pPr>
              <w:bidi w:val="1"/>
              <w:jc w:val="right"/>
            </w:pPr>
            <w:r>
              <w:rPr>
                <w:b/>
              </w:rPr>
              <w:t>القيمة</w:t>
            </w:r>
          </w:p>
        </w:tc>
      </w:tr>
      <w:tr>
        <w:tc>
          <w:tcPr>
            <w:tcW w:type="dxa" w:w="4703"/>
          </w:tcPr>
          <w:p>
            <w:pPr>
              <w:bidi w:val="1"/>
              <w:jc w:val="right"/>
            </w:pPr>
            <w:r>
              <w:t>الموقع المختبر</w:t>
            </w:r>
          </w:p>
        </w:tc>
        <w:tc>
          <w:tcPr>
            <w:tcW w:type="dxa" w:w="4703"/>
          </w:tcPr>
          <w:p>
            <w:pPr>
              <w:bidi w:val="1"/>
              <w:jc w:val="right"/>
            </w:pPr>
            <w:r>
              <w:t>applicants.itp.moi.gov.iq</w:t>
            </w:r>
          </w:p>
        </w:tc>
      </w:tr>
      <w:tr>
        <w:tc>
          <w:tcPr>
            <w:tcW w:type="dxa" w:w="4703"/>
          </w:tcPr>
          <w:p>
            <w:pPr>
              <w:bidi w:val="1"/>
              <w:jc w:val="right"/>
            </w:pPr>
            <w:r>
              <w:t>البروتوكول / المنفذ</w:t>
            </w:r>
          </w:p>
        </w:tc>
        <w:tc>
          <w:tcPr>
            <w:tcW w:type="dxa" w:w="4703"/>
          </w:tcPr>
          <w:p>
            <w:pPr>
              <w:bidi w:val="1"/>
              <w:jc w:val="right"/>
            </w:pPr>
            <w:r>
              <w:t>HTTPS — 443</w:t>
            </w:r>
          </w:p>
        </w:tc>
      </w:tr>
      <w:tr>
        <w:tc>
          <w:tcPr>
            <w:tcW w:type="dxa" w:w="4703"/>
          </w:tcPr>
          <w:p>
            <w:pPr>
              <w:bidi w:val="1"/>
              <w:jc w:val="right"/>
            </w:pPr>
            <w:r>
              <w:t>تاريخ الاختبار</w:t>
            </w:r>
          </w:p>
        </w:tc>
        <w:tc>
          <w:tcPr>
            <w:tcW w:type="dxa" w:w="4703"/>
          </w:tcPr>
          <w:p>
            <w:pPr>
              <w:bidi w:val="1"/>
              <w:jc w:val="right"/>
            </w:pPr>
            <w:r>
              <w:t>13/8/2026</w:t>
            </w:r>
          </w:p>
        </w:tc>
      </w:tr>
      <w:tr>
        <w:tc>
          <w:tcPr>
            <w:tcW w:type="dxa" w:w="4703"/>
          </w:tcPr>
          <w:p>
            <w:pPr>
              <w:bidi w:val="1"/>
              <w:jc w:val="right"/>
            </w:pPr>
            <w:r>
              <w:t>التصنيف العام</w:t>
            </w:r>
          </w:p>
        </w:tc>
        <w:tc>
          <w:tcPr>
            <w:tcW w:type="dxa" w:w="4703"/>
          </w:tcPr>
          <w:p>
            <w:pPr>
              <w:bidi w:val="1"/>
              <w:jc w:val="right"/>
            </w:pPr>
            <w:r>
              <w:t>حرج (Critical)</w:t>
            </w:r>
          </w:p>
        </w:tc>
      </w:tr>
      <w:tr>
        <w:tc>
          <w:tcPr>
            <w:tcW w:type="dxa" w:w="4703"/>
          </w:tcPr>
          <w:p>
            <w:pPr>
              <w:bidi w:val="1"/>
              <w:jc w:val="right"/>
            </w:pPr>
            <w:r>
              <w:t>عدد الثغرات الحرجة</w:t>
            </w:r>
          </w:p>
        </w:tc>
        <w:tc>
          <w:tcPr>
            <w:tcW w:type="dxa" w:w="4703"/>
          </w:tcPr>
          <w:p>
            <w:pPr>
              <w:bidi w:val="1"/>
              <w:jc w:val="right"/>
            </w:pPr>
            <w:r>
              <w:t>2 (مرتبطتان بسلسلة هجوم واحدة)</w:t>
            </w:r>
          </w:p>
        </w:tc>
      </w:tr>
    </w:tbl>
    <w:p/>
    <w:p>
      <w:pPr>
        <w:bidi w:val="1"/>
        <w:jc w:val="right"/>
      </w:pPr>
      <w:r>
        <w:rPr>
          <w:rFonts w:ascii="Arial" w:hAnsi="Arial" w:asciiTheme="minorHAnsi"/>
          <w:b/>
          <w:sz w:val="32"/>
        </w:rPr>
        <w:t>1. الملخص التنفيذي</w:t>
      </w:r>
    </w:p>
    <w:p>
      <w:pPr>
        <w:bidi w:val="1"/>
        <w:jc w:val="right"/>
      </w:pPr>
      <w:r>
        <w:rPr>
          <w:rFonts w:ascii="Arial" w:hAnsi="Arial"/>
          <w:b w:val="0"/>
          <w:sz w:val="24"/>
        </w:rPr>
        <w:t>أظهر تقييم الأمان لبوابة المراجعين التابعة للمرور العراقي وجود ثغرات أمنية حرجة تؤثر مباشرة على سرية بيانات المواطنين وعزل حساباتهم. يستطيع أي مهاجم على الإنترنت — دون صلاحيات إدارية — إنشاء حساب، تسجيل الدخول، ثم قراءة بيانات مواطنين آخرين تشمل الأسماء وأرقام الهواتف ومعلومات الطلبات وأرقام المركبات.</w:t>
      </w:r>
    </w:p>
    <w:p>
      <w:pPr>
        <w:bidi w:val="1"/>
        <w:jc w:val="right"/>
      </w:pPr>
      <w:r>
        <w:rPr>
          <w:rFonts w:ascii="Arial" w:hAnsi="Arial"/>
          <w:b w:val="0"/>
          <w:sz w:val="24"/>
        </w:rPr>
        <w:t>السبب الجذري: تعديل رأس Host في طلب HTTP للوصول إلى خوادم Backend داخلية (prod-bapplicants.itpmoi-prod.local) عبر المضيف العام (beapplicants.itp.moi.gov.iq) دون رفض من الخادم، يليه فشل في التحقق من الصلاحيات على مستوى البيانات (Broken Access Control و IDOR).</w:t>
      </w:r>
    </w:p>
    <w:p>
      <w:pPr>
        <w:bidi w:val="1"/>
        <w:jc w:val="right"/>
      </w:pPr>
      <w:r>
        <w:rPr>
          <w:rFonts w:ascii="Arial" w:hAnsi="Arial"/>
          <w:b w:val="0"/>
          <w:sz w:val="24"/>
        </w:rPr>
        <w:t>التوصية الإدارية: معاملة النتائج كحادث أمني P0 يتطلب تدخلاً فورياً من فريق البنية التحتية وفريق التطبيق معاً، ثم إعادة اختبار شامل قبل إعلان إغلاق الحادث.</w:t>
      </w:r>
    </w:p>
    <w:p>
      <w:pPr>
        <w:bidi w:val="1"/>
        <w:jc w:val="right"/>
      </w:pPr>
      <w:r>
        <w:rPr>
          <w:rFonts w:ascii="Arial" w:hAnsi="Arial" w:asciiTheme="minorHAnsi"/>
          <w:b/>
          <w:sz w:val="32"/>
        </w:rPr>
        <w:t>2. الثغرات المكتشفة</w:t>
      </w:r>
    </w:p>
    <w:p>
      <w:pPr>
        <w:bidi w:val="1"/>
        <w:jc w:val="right"/>
      </w:pPr>
      <w:r>
        <w:rPr>
          <w:rFonts w:ascii="Arial" w:hAnsi="Arial" w:asciiTheme="minorHAnsi"/>
          <w:b/>
          <w:sz w:val="26"/>
        </w:rPr>
        <w:t>2.1 تعديل رأس Host وكسر التحكم بالوصول (Critical)</w:t>
      </w:r>
    </w:p>
    <w:tbl>
      <w:tblPr>
        <w:tblStyle w:val="TableGrid"/>
        <w:tblW w:type="auto" w:w="0"/>
        <w:tblLook w:firstColumn="1" w:firstRow="1" w:lastColumn="0" w:lastRow="0" w:noHBand="0" w:noVBand="1" w:val="04A0"/>
      </w:tblPr>
      <w:tblGrid>
        <w:gridCol w:w="4703"/>
        <w:gridCol w:w="4703"/>
      </w:tblGrid>
      <w:tr>
        <w:tc>
          <w:tcPr>
            <w:tcW w:type="dxa" w:w="4703"/>
          </w:tcPr>
          <w:p>
            <w:pPr>
              <w:bidi w:val="1"/>
              <w:jc w:val="right"/>
            </w:pPr>
            <w:r>
              <w:rPr>
                <w:b/>
              </w:rPr>
              <w:t>البند</w:t>
            </w:r>
          </w:p>
        </w:tc>
        <w:tc>
          <w:tcPr>
            <w:tcW w:type="dxa" w:w="4703"/>
          </w:tcPr>
          <w:p>
            <w:pPr>
              <w:bidi w:val="1"/>
              <w:jc w:val="right"/>
            </w:pPr>
            <w:r>
              <w:rPr>
                <w:b/>
              </w:rPr>
              <w:t>التفاصيل</w:t>
            </w:r>
          </w:p>
        </w:tc>
      </w:tr>
      <w:tr>
        <w:tc>
          <w:tcPr>
            <w:tcW w:type="dxa" w:w="4703"/>
          </w:tcPr>
          <w:p>
            <w:pPr>
              <w:bidi w:val="1"/>
              <w:jc w:val="right"/>
            </w:pPr>
            <w:r>
              <w:t>الاسم</w:t>
            </w:r>
          </w:p>
        </w:tc>
        <w:tc>
          <w:tcPr>
            <w:tcW w:type="dxa" w:w="4703"/>
          </w:tcPr>
          <w:p>
            <w:pPr>
              <w:bidi w:val="1"/>
              <w:jc w:val="right"/>
            </w:pPr>
            <w:r>
              <w:t>Host Header Manipulation and Broken Access Control</w:t>
            </w:r>
          </w:p>
        </w:tc>
      </w:tr>
      <w:tr>
        <w:tc>
          <w:tcPr>
            <w:tcW w:type="dxa" w:w="4703"/>
          </w:tcPr>
          <w:p>
            <w:pPr>
              <w:bidi w:val="1"/>
              <w:jc w:val="right"/>
            </w:pPr>
            <w:r>
              <w:t>OWASP</w:t>
            </w:r>
          </w:p>
        </w:tc>
        <w:tc>
          <w:tcPr>
            <w:tcW w:type="dxa" w:w="4703"/>
          </w:tcPr>
          <w:p>
            <w:pPr>
              <w:bidi w:val="1"/>
              <w:jc w:val="right"/>
            </w:pPr>
            <w:r>
              <w:t>A05:2021 Security Misconfiguration · A01:2021 Broken Access Control</w:t>
            </w:r>
          </w:p>
        </w:tc>
      </w:tr>
      <w:tr>
        <w:tc>
          <w:tcPr>
            <w:tcW w:type="dxa" w:w="4703"/>
          </w:tcPr>
          <w:p>
            <w:pPr>
              <w:bidi w:val="1"/>
              <w:jc w:val="right"/>
            </w:pPr>
            <w:r>
              <w:t>CVSS تقديري</w:t>
            </w:r>
          </w:p>
        </w:tc>
        <w:tc>
          <w:tcPr>
            <w:tcW w:type="dxa" w:w="4703"/>
          </w:tcPr>
          <w:p>
            <w:pPr>
              <w:bidi w:val="1"/>
              <w:jc w:val="right"/>
            </w:pPr>
            <w:r>
              <w:t>9.0 – 9.8</w:t>
            </w:r>
          </w:p>
        </w:tc>
      </w:tr>
    </w:tbl>
    <w:p/>
    <w:p>
      <w:pPr>
        <w:bidi w:val="1"/>
        <w:jc w:val="right"/>
      </w:pPr>
      <w:r>
        <w:rPr>
          <w:rFonts w:ascii="Arial" w:hAnsi="Arial"/>
          <w:b w:val="0"/>
          <w:sz w:val="24"/>
        </w:rPr>
        <w:t>الوصف: النظام يوجّه الطلبات داخلياً إلى prod-bapplicants.itpmoi-prod.local، لكن تغيير قيمة Host إلى beapplicants.itp.moi.gov.iq يسمح بالوصول إلى واجهات Backend للتسجيل والمصادقة. الخادم يعالج الطلبات دون رفضها، فيُنشأ حساب Applicant جديد ويُحصل على JWT صالح، ثم يُستخدم لاسترجاع سجلات تخص مستخدمين آخرين.</w:t>
      </w:r>
    </w:p>
    <w:p>
      <w:pPr>
        <w:bidi w:val="1"/>
        <w:jc w:val="right"/>
      </w:pPr>
      <w:r>
        <w:rPr>
          <w:rFonts w:ascii="Arial" w:hAnsi="Arial"/>
          <w:b/>
          <w:sz w:val="24"/>
        </w:rPr>
        <w:t>نقاط النهاية المتأثرة:</w:t>
      </w:r>
    </w:p>
    <w:p>
      <w:pPr>
        <w:bidi w:val="1"/>
        <w:jc w:val="right"/>
      </w:pPr>
      <w:r>
        <w:rPr>
          <w:rFonts w:ascii="Arial" w:hAnsi="Arial"/>
          <w:b w:val="0"/>
          <w:sz w:val="24"/>
        </w:rPr>
        <w:t>• POST /api/applicant/v1/auth/confirm-phone-number-send-otp</w:t>
      </w:r>
    </w:p>
    <w:p>
      <w:pPr>
        <w:bidi w:val="1"/>
        <w:jc w:val="right"/>
      </w:pPr>
      <w:r>
        <w:rPr>
          <w:rFonts w:ascii="Arial" w:hAnsi="Arial"/>
          <w:b w:val="0"/>
          <w:sz w:val="24"/>
        </w:rPr>
        <w:t>• POST /api/applicant/v1/auth/signup</w:t>
      </w:r>
    </w:p>
    <w:p>
      <w:pPr>
        <w:bidi w:val="1"/>
        <w:jc w:val="right"/>
      </w:pPr>
      <w:r>
        <w:rPr>
          <w:rFonts w:ascii="Arial" w:hAnsi="Arial"/>
          <w:b w:val="0"/>
          <w:sz w:val="24"/>
        </w:rPr>
        <w:t>• POST /api/applicant/v1/auth/login</w:t>
      </w:r>
    </w:p>
    <w:p>
      <w:pPr>
        <w:bidi w:val="1"/>
        <w:jc w:val="right"/>
      </w:pPr>
      <w:r>
        <w:rPr>
          <w:rFonts w:ascii="Arial" w:hAnsi="Arial"/>
          <w:b w:val="0"/>
          <w:sz w:val="24"/>
        </w:rPr>
        <w:t>• POST /api/applicant/v1/registrations/search</w:t>
      </w:r>
    </w:p>
    <w:p>
      <w:pPr>
        <w:bidi w:val="1"/>
        <w:jc w:val="right"/>
      </w:pPr>
      <w:r>
        <w:rPr>
          <w:rFonts w:ascii="Arial" w:hAnsi="Arial"/>
          <w:b w:val="0"/>
          <w:sz w:val="24"/>
        </w:rPr>
        <w:t>• GET /api/applicant/v1/requests/{requestId}</w:t>
      </w:r>
    </w:p>
    <w:p>
      <w:pPr>
        <w:bidi w:val="1"/>
        <w:jc w:val="right"/>
      </w:pPr>
      <w:r>
        <w:rPr>
          <w:rFonts w:ascii="Arial" w:hAnsi="Arial" w:asciiTheme="minorHAnsi"/>
          <w:b/>
          <w:sz w:val="26"/>
        </w:rPr>
        <w:t>2.2 الوصول غير المصرّح به — IDOR (Critical)</w:t>
      </w:r>
    </w:p>
    <w:p>
      <w:pPr>
        <w:bidi w:val="1"/>
        <w:jc w:val="right"/>
      </w:pPr>
      <w:r>
        <w:rPr>
          <w:rFonts w:ascii="Arial" w:hAnsi="Arial"/>
          <w:b w:val="0"/>
          <w:sz w:val="24"/>
        </w:rPr>
        <w:t>تمرير requestId مختلف إلى GET /api/applicant/v1/requests/{requestId} يُرجع تفاصيل طلبات مواطنين آخرين. كذلك POST /api/applicant/v1/registrations/search مع body {} يُرجع سجلات مركبات جميع المستخدمين.</w:t>
      </w:r>
    </w:p>
    <w:p>
      <w:pPr>
        <w:bidi w:val="1"/>
        <w:jc w:val="right"/>
      </w:pPr>
      <w:r>
        <w:rPr>
          <w:rFonts w:ascii="Arial" w:hAnsi="Arial"/>
          <w:b w:val="0"/>
          <w:sz w:val="24"/>
        </w:rPr>
        <w:t>الفرق الحاسم: النظام يتحقق من المصادقة (JWT صالح) ويفشل في التفويض (هل للمستخدم حق قراءة هذه البيانات؟).</w:t>
      </w:r>
    </w:p>
    <w:p>
      <w:pPr>
        <w:bidi w:val="1"/>
        <w:jc w:val="right"/>
      </w:pPr>
      <w:r>
        <w:rPr>
          <w:rFonts w:ascii="Arial" w:hAnsi="Arial" w:asciiTheme="minorHAnsi"/>
          <w:b/>
          <w:sz w:val="32"/>
        </w:rPr>
        <w:t>3. سلسلة الهجوم</w:t>
      </w:r>
    </w:p>
    <w:p>
      <w:pPr>
        <w:bidi w:val="1"/>
        <w:jc w:val="right"/>
      </w:pPr>
      <w:r>
        <w:rPr>
          <w:rFonts w:ascii="Arial" w:hAnsi="Arial"/>
          <w:b w:val="0"/>
          <w:sz w:val="24"/>
        </w:rPr>
        <w:t>1. إرسال OTP للتحقق من رقم الهاتف</w:t>
      </w:r>
    </w:p>
    <w:p>
      <w:pPr>
        <w:bidi w:val="1"/>
        <w:jc w:val="right"/>
      </w:pPr>
      <w:r>
        <w:rPr>
          <w:rFonts w:ascii="Arial" w:hAnsi="Arial"/>
          <w:b w:val="0"/>
          <w:sz w:val="24"/>
        </w:rPr>
        <w:t>2. إنشاء حساب مراجع جديد (signup)</w:t>
      </w:r>
    </w:p>
    <w:p>
      <w:pPr>
        <w:bidi w:val="1"/>
        <w:jc w:val="right"/>
      </w:pPr>
      <w:r>
        <w:rPr>
          <w:rFonts w:ascii="Arial" w:hAnsi="Arial"/>
          <w:b w:val="0"/>
          <w:sz w:val="24"/>
        </w:rPr>
        <w:t>3. تسجيل الدخول والحصول على JWT</w:t>
      </w:r>
    </w:p>
    <w:p>
      <w:pPr>
        <w:bidi w:val="1"/>
        <w:jc w:val="right"/>
      </w:pPr>
      <w:r>
        <w:rPr>
          <w:rFonts w:ascii="Arial" w:hAnsi="Arial"/>
          <w:b w:val="0"/>
          <w:sz w:val="24"/>
        </w:rPr>
        <w:t>4. البحث في جميع سجلات المركبات (Broken Access Control)</w:t>
      </w:r>
    </w:p>
    <w:p>
      <w:pPr>
        <w:bidi w:val="1"/>
        <w:jc w:val="right"/>
      </w:pPr>
      <w:r>
        <w:rPr>
          <w:rFonts w:ascii="Arial" w:hAnsi="Arial"/>
          <w:b w:val="0"/>
          <w:sz w:val="24"/>
        </w:rPr>
        <w:t>5. الوصول لبيانات مواطن آخر عبر requestId (IDOR)</w:t>
      </w:r>
    </w:p>
    <w:p>
      <w:pPr>
        <w:bidi w:val="1"/>
        <w:jc w:val="right"/>
      </w:pPr>
      <w:r>
        <w:rPr>
          <w:rFonts w:ascii="Arial" w:hAnsi="Arial" w:asciiTheme="minorHAnsi"/>
          <w:b/>
          <w:sz w:val="32"/>
        </w:rPr>
        <w:t>4. تقييم التأثير</w:t>
      </w:r>
    </w:p>
    <w:tbl>
      <w:tblPr>
        <w:tblStyle w:val="TableGrid"/>
        <w:tblW w:type="auto" w:w="0"/>
        <w:tblLook w:firstColumn="1" w:firstRow="1" w:lastColumn="0" w:lastRow="0" w:noHBand="0" w:noVBand="1" w:val="04A0"/>
      </w:tblPr>
      <w:tblGrid>
        <w:gridCol w:w="3135"/>
        <w:gridCol w:w="3135"/>
        <w:gridCol w:w="3135"/>
      </w:tblGrid>
      <w:tr>
        <w:tc>
          <w:tcPr>
            <w:tcW w:type="dxa" w:w="3135"/>
          </w:tcPr>
          <w:p>
            <w:pPr>
              <w:bidi w:val="1"/>
              <w:jc w:val="right"/>
            </w:pPr>
            <w:r>
              <w:rPr>
                <w:b/>
              </w:rPr>
              <w:t>البعد</w:t>
            </w:r>
          </w:p>
        </w:tc>
        <w:tc>
          <w:tcPr>
            <w:tcW w:type="dxa" w:w="3135"/>
          </w:tcPr>
          <w:p>
            <w:pPr>
              <w:bidi w:val="1"/>
              <w:jc w:val="right"/>
            </w:pPr>
            <w:r>
              <w:rPr>
                <w:b/>
              </w:rPr>
              <w:t>التقييم</w:t>
            </w:r>
          </w:p>
        </w:tc>
        <w:tc>
          <w:tcPr>
            <w:tcW w:type="dxa" w:w="3135"/>
          </w:tcPr>
          <w:p>
            <w:pPr>
              <w:bidi w:val="1"/>
              <w:jc w:val="right"/>
            </w:pPr>
            <w:r>
              <w:rPr>
                <w:b/>
              </w:rPr>
              <w:t>التفاصيل</w:t>
            </w:r>
          </w:p>
        </w:tc>
      </w:tr>
      <w:tr>
        <w:tc>
          <w:tcPr>
            <w:tcW w:type="dxa" w:w="3135"/>
          </w:tcPr>
          <w:p>
            <w:pPr>
              <w:bidi w:val="1"/>
              <w:jc w:val="right"/>
            </w:pPr>
            <w:r>
              <w:t>السرية</w:t>
            </w:r>
          </w:p>
        </w:tc>
        <w:tc>
          <w:tcPr>
            <w:tcW w:type="dxa" w:w="3135"/>
          </w:tcPr>
          <w:p>
            <w:pPr>
              <w:bidi w:val="1"/>
              <w:jc w:val="right"/>
            </w:pPr>
            <w:r>
              <w:t>عالي جداً</w:t>
            </w:r>
          </w:p>
        </w:tc>
        <w:tc>
          <w:tcPr>
            <w:tcW w:type="dxa" w:w="3135"/>
          </w:tcPr>
          <w:p>
            <w:pPr>
              <w:bidi w:val="1"/>
              <w:jc w:val="right"/>
            </w:pPr>
            <w:r>
              <w:t>PII لمواطنين متعددين</w:t>
            </w:r>
          </w:p>
        </w:tc>
      </w:tr>
      <w:tr>
        <w:tc>
          <w:tcPr>
            <w:tcW w:type="dxa" w:w="3135"/>
          </w:tcPr>
          <w:p>
            <w:pPr>
              <w:bidi w:val="1"/>
              <w:jc w:val="right"/>
            </w:pPr>
            <w:r>
              <w:t>النزاهة</w:t>
            </w:r>
          </w:p>
        </w:tc>
        <w:tc>
          <w:tcPr>
            <w:tcW w:type="dxa" w:w="3135"/>
          </w:tcPr>
          <w:p>
            <w:pPr>
              <w:bidi w:val="1"/>
              <w:jc w:val="right"/>
            </w:pPr>
            <w:r>
              <w:t>متوسط</w:t>
            </w:r>
          </w:p>
        </w:tc>
        <w:tc>
          <w:tcPr>
            <w:tcW w:type="dxa" w:w="3135"/>
          </w:tcPr>
          <w:p>
            <w:pPr>
              <w:bidi w:val="1"/>
              <w:jc w:val="right"/>
            </w:pPr>
            <w:r>
              <w:t>إنشاء حسابات وهمية</w:t>
            </w:r>
          </w:p>
        </w:tc>
      </w:tr>
      <w:tr>
        <w:tc>
          <w:tcPr>
            <w:tcW w:type="dxa" w:w="3135"/>
          </w:tcPr>
          <w:p>
            <w:pPr>
              <w:bidi w:val="1"/>
              <w:jc w:val="right"/>
            </w:pPr>
            <w:r>
              <w:t>التوفر</w:t>
            </w:r>
          </w:p>
        </w:tc>
        <w:tc>
          <w:tcPr>
            <w:tcW w:type="dxa" w:w="3135"/>
          </w:tcPr>
          <w:p>
            <w:pPr>
              <w:bidi w:val="1"/>
              <w:jc w:val="right"/>
            </w:pPr>
            <w:r>
              <w:t>منخفض</w:t>
            </w:r>
          </w:p>
        </w:tc>
        <w:tc>
          <w:tcPr>
            <w:tcW w:type="dxa" w:w="3135"/>
          </w:tcPr>
          <w:p>
            <w:pPr>
              <w:bidi w:val="1"/>
              <w:jc w:val="right"/>
            </w:pPr>
            <w:r>
              <w:t>غير مباشر</w:t>
            </w:r>
          </w:p>
        </w:tc>
      </w:tr>
      <w:tr>
        <w:tc>
          <w:tcPr>
            <w:tcW w:type="dxa" w:w="3135"/>
          </w:tcPr>
          <w:p>
            <w:pPr>
              <w:bidi w:val="1"/>
              <w:jc w:val="right"/>
            </w:pPr>
            <w:r>
              <w:t>قابلية الاستغلال</w:t>
            </w:r>
          </w:p>
        </w:tc>
        <w:tc>
          <w:tcPr>
            <w:tcW w:type="dxa" w:w="3135"/>
          </w:tcPr>
          <w:p>
            <w:pPr>
              <w:bidi w:val="1"/>
              <w:jc w:val="right"/>
            </w:pPr>
            <w:r>
              <w:t>عالية</w:t>
            </w:r>
          </w:p>
        </w:tc>
        <w:tc>
          <w:tcPr>
            <w:tcW w:type="dxa" w:w="3135"/>
          </w:tcPr>
          <w:p>
            <w:pPr>
              <w:bidi w:val="1"/>
              <w:jc w:val="right"/>
            </w:pPr>
            <w:r>
              <w:t>لا يتطلب مهارات متقدمة</w:t>
            </w:r>
          </w:p>
        </w:tc>
      </w:tr>
      <w:tr>
        <w:tc>
          <w:tcPr>
            <w:tcW w:type="dxa" w:w="3135"/>
          </w:tcPr>
          <w:p>
            <w:pPr>
              <w:bidi w:val="1"/>
              <w:jc w:val="right"/>
            </w:pPr>
            <w:r>
              <w:t>الامتثال</w:t>
            </w:r>
          </w:p>
        </w:tc>
        <w:tc>
          <w:tcPr>
            <w:tcW w:type="dxa" w:w="3135"/>
          </w:tcPr>
          <w:p>
            <w:pPr>
              <w:bidi w:val="1"/>
              <w:jc w:val="right"/>
            </w:pPr>
            <w:r>
              <w:t>حرج</w:t>
            </w:r>
          </w:p>
        </w:tc>
        <w:tc>
          <w:tcPr>
            <w:tcW w:type="dxa" w:w="3135"/>
          </w:tcPr>
          <w:p>
            <w:pPr>
              <w:bidi w:val="1"/>
              <w:jc w:val="right"/>
            </w:pPr>
            <w:r>
              <w:t>انتهاك خصوصية بيانات مواطنين</w:t>
            </w:r>
          </w:p>
        </w:tc>
      </w:tr>
    </w:tbl>
    <w:p/>
    <w:p>
      <w:pPr>
        <w:bidi w:val="1"/>
        <w:jc w:val="right"/>
      </w:pPr>
      <w:r>
        <w:rPr>
          <w:rFonts w:ascii="Arial" w:hAnsi="Arial" w:asciiTheme="minorHAnsi"/>
          <w:b/>
          <w:sz w:val="32"/>
        </w:rPr>
        <w:t>5. التوصيات</w:t>
      </w:r>
    </w:p>
    <w:p>
      <w:pPr>
        <w:bidi w:val="1"/>
        <w:jc w:val="right"/>
      </w:pPr>
      <w:r>
        <w:rPr>
          <w:rFonts w:ascii="Arial" w:hAnsi="Arial"/>
          <w:b w:val="0"/>
          <w:sz w:val="24"/>
        </w:rPr>
        <w:t>• رفض أي Host غير مسموح على Gateway و Backend</w:t>
      </w:r>
    </w:p>
    <w:p>
      <w:pPr>
        <w:bidi w:val="1"/>
        <w:jc w:val="right"/>
      </w:pPr>
      <w:r>
        <w:rPr>
          <w:rFonts w:ascii="Arial" w:hAnsi="Arial"/>
          <w:b w:val="0"/>
          <w:sz w:val="24"/>
        </w:rPr>
        <w:t>• عزل Backend — internal-only</w:t>
      </w:r>
    </w:p>
    <w:p>
      <w:pPr>
        <w:bidi w:val="1"/>
        <w:jc w:val="right"/>
      </w:pPr>
      <w:r>
        <w:rPr>
          <w:rFonts w:ascii="Arial" w:hAnsi="Arial"/>
          <w:b w:val="0"/>
          <w:sz w:val="24"/>
        </w:rPr>
        <w:t>• إصلاح IDOR: التحقق من ملكية requestId</w:t>
      </w:r>
    </w:p>
    <w:p>
      <w:pPr>
        <w:bidi w:val="1"/>
        <w:jc w:val="right"/>
      </w:pPr>
      <w:r>
        <w:rPr>
          <w:rFonts w:ascii="Arial" w:hAnsi="Arial"/>
          <w:b w:val="0"/>
          <w:sz w:val="24"/>
        </w:rPr>
        <w:t>• إصلاح BAC: فلترة registrations/search حسب JWT</w:t>
      </w:r>
    </w:p>
    <w:p>
      <w:pPr>
        <w:bidi w:val="1"/>
        <w:jc w:val="right"/>
      </w:pPr>
      <w:r>
        <w:rPr>
          <w:rFonts w:ascii="Arial" w:hAnsi="Arial"/>
          <w:b w:val="0"/>
          <w:sz w:val="24"/>
        </w:rPr>
        <w:t>• Rate limiting على OTP / signup / login</w:t>
      </w:r>
    </w:p>
    <w:p>
      <w:pPr>
        <w:bidi w:val="1"/>
        <w:jc w:val="right"/>
      </w:pPr>
      <w:r>
        <w:rPr>
          <w:rFonts w:ascii="Arial" w:hAnsi="Arial"/>
          <w:b w:val="0"/>
          <w:sz w:val="24"/>
        </w:rPr>
        <w:t>• WAF rules لرؤوس Host غير المتوقعة</w:t>
      </w:r>
    </w:p>
    <w:p>
      <w:pPr>
        <w:bidi w:val="1"/>
        <w:jc w:val="right"/>
      </w:pPr>
      <w:r>
        <w:rPr>
          <w:rFonts w:ascii="Arial" w:hAnsi="Arial"/>
          <w:b w:val="0"/>
          <w:sz w:val="24"/>
        </w:rPr>
        <w:t>• Retest شامل بعد الإصلاح</w:t>
      </w:r>
    </w:p>
    <w:p>
      <w:pPr>
        <w:bidi w:val="1"/>
        <w:jc w:val="right"/>
      </w:pPr>
      <w:r>
        <w:rPr>
          <w:rFonts w:ascii="Arial" w:hAnsi="Arial" w:asciiTheme="minorHAnsi"/>
          <w:b/>
          <w:sz w:val="32"/>
        </w:rPr>
        <w:t>6. جدول أولويات المعالجة</w:t>
      </w:r>
    </w:p>
    <w:tbl>
      <w:tblPr>
        <w:tblStyle w:val="TableGrid"/>
        <w:tblW w:type="auto" w:w="0"/>
        <w:tblLook w:firstColumn="1" w:firstRow="1" w:lastColumn="0" w:lastRow="0" w:noHBand="0" w:noVBand="1" w:val="04A0"/>
      </w:tblPr>
      <w:tblGrid>
        <w:gridCol w:w="3135"/>
        <w:gridCol w:w="3135"/>
        <w:gridCol w:w="3135"/>
      </w:tblGrid>
      <w:tr>
        <w:tc>
          <w:tcPr>
            <w:tcW w:type="dxa" w:w="3135"/>
          </w:tcPr>
          <w:p>
            <w:pPr>
              <w:bidi w:val="1"/>
              <w:jc w:val="right"/>
            </w:pPr>
            <w:r>
              <w:rPr>
                <w:b/>
              </w:rPr>
              <w:t>الأولوية</w:t>
            </w:r>
          </w:p>
        </w:tc>
        <w:tc>
          <w:tcPr>
            <w:tcW w:type="dxa" w:w="3135"/>
          </w:tcPr>
          <w:p>
            <w:pPr>
              <w:bidi w:val="1"/>
              <w:jc w:val="right"/>
            </w:pPr>
            <w:r>
              <w:rPr>
                <w:b/>
              </w:rPr>
              <w:t>الإجراء</w:t>
            </w:r>
          </w:p>
        </w:tc>
        <w:tc>
          <w:tcPr>
            <w:tcW w:type="dxa" w:w="3135"/>
          </w:tcPr>
          <w:p>
            <w:pPr>
              <w:bidi w:val="1"/>
              <w:jc w:val="right"/>
            </w:pPr>
            <w:r>
              <w:rPr>
                <w:b/>
              </w:rPr>
              <w:t>المسؤول</w:t>
            </w:r>
          </w:p>
        </w:tc>
      </w:tr>
      <w:tr>
        <w:tc>
          <w:tcPr>
            <w:tcW w:type="dxa" w:w="3135"/>
          </w:tcPr>
          <w:p>
            <w:pPr>
              <w:bidi w:val="1"/>
              <w:jc w:val="right"/>
            </w:pPr>
            <w:r>
              <w:t>P0 — فوري</w:t>
            </w:r>
          </w:p>
        </w:tc>
        <w:tc>
          <w:tcPr>
            <w:tcW w:type="dxa" w:w="3135"/>
          </w:tcPr>
          <w:p>
            <w:pPr>
              <w:bidi w:val="1"/>
              <w:jc w:val="right"/>
            </w:pPr>
            <w:r>
              <w:t>رفض Host غير مسموح</w:t>
            </w:r>
          </w:p>
        </w:tc>
        <w:tc>
          <w:tcPr>
            <w:tcW w:type="dxa" w:w="3135"/>
          </w:tcPr>
          <w:p>
            <w:pPr>
              <w:bidi w:val="1"/>
              <w:jc w:val="right"/>
            </w:pPr>
            <w:r>
              <w:t>البنية التحتية</w:t>
            </w:r>
          </w:p>
        </w:tc>
      </w:tr>
      <w:tr>
        <w:tc>
          <w:tcPr>
            <w:tcW w:type="dxa" w:w="3135"/>
          </w:tcPr>
          <w:p>
            <w:pPr>
              <w:bidi w:val="1"/>
              <w:jc w:val="right"/>
            </w:pPr>
            <w:r>
              <w:t>P0 — فوري</w:t>
            </w:r>
          </w:p>
        </w:tc>
        <w:tc>
          <w:tcPr>
            <w:tcW w:type="dxa" w:w="3135"/>
          </w:tcPr>
          <w:p>
            <w:pPr>
              <w:bidi w:val="1"/>
              <w:jc w:val="right"/>
            </w:pPr>
            <w:r>
              <w:t>عزل Backend</w:t>
            </w:r>
          </w:p>
        </w:tc>
        <w:tc>
          <w:tcPr>
            <w:tcW w:type="dxa" w:w="3135"/>
          </w:tcPr>
          <w:p>
            <w:pPr>
              <w:bidi w:val="1"/>
              <w:jc w:val="right"/>
            </w:pPr>
            <w:r>
              <w:t>الشبكات / DevOps</w:t>
            </w:r>
          </w:p>
        </w:tc>
      </w:tr>
      <w:tr>
        <w:tc>
          <w:tcPr>
            <w:tcW w:type="dxa" w:w="3135"/>
          </w:tcPr>
          <w:p>
            <w:pPr>
              <w:bidi w:val="1"/>
              <w:jc w:val="right"/>
            </w:pPr>
            <w:r>
              <w:t>P0 — فوري</w:t>
            </w:r>
          </w:p>
        </w:tc>
        <w:tc>
          <w:tcPr>
            <w:tcW w:type="dxa" w:w="3135"/>
          </w:tcPr>
          <w:p>
            <w:pPr>
              <w:bidi w:val="1"/>
              <w:jc w:val="right"/>
            </w:pPr>
            <w:r>
              <w:t>إصلاح IDOR</w:t>
            </w:r>
          </w:p>
        </w:tc>
        <w:tc>
          <w:tcPr>
            <w:tcW w:type="dxa" w:w="3135"/>
          </w:tcPr>
          <w:p>
            <w:pPr>
              <w:bidi w:val="1"/>
              <w:jc w:val="right"/>
            </w:pPr>
            <w:r>
              <w:t>Backend</w:t>
            </w:r>
          </w:p>
        </w:tc>
      </w:tr>
      <w:tr>
        <w:tc>
          <w:tcPr>
            <w:tcW w:type="dxa" w:w="3135"/>
          </w:tcPr>
          <w:p>
            <w:pPr>
              <w:bidi w:val="1"/>
              <w:jc w:val="right"/>
            </w:pPr>
            <w:r>
              <w:t>P0 — فوري</w:t>
            </w:r>
          </w:p>
        </w:tc>
        <w:tc>
          <w:tcPr>
            <w:tcW w:type="dxa" w:w="3135"/>
          </w:tcPr>
          <w:p>
            <w:pPr>
              <w:bidi w:val="1"/>
              <w:jc w:val="right"/>
            </w:pPr>
            <w:r>
              <w:t>إصلاح BAC</w:t>
            </w:r>
          </w:p>
        </w:tc>
        <w:tc>
          <w:tcPr>
            <w:tcW w:type="dxa" w:w="3135"/>
          </w:tcPr>
          <w:p>
            <w:pPr>
              <w:bidi w:val="1"/>
              <w:jc w:val="right"/>
            </w:pPr>
            <w:r>
              <w:t>Backend</w:t>
            </w:r>
          </w:p>
        </w:tc>
      </w:tr>
      <w:tr>
        <w:tc>
          <w:tcPr>
            <w:tcW w:type="dxa" w:w="3135"/>
          </w:tcPr>
          <w:p>
            <w:pPr>
              <w:bidi w:val="1"/>
              <w:jc w:val="right"/>
            </w:pPr>
            <w:r>
              <w:t>P1 — عاجل</w:t>
            </w:r>
          </w:p>
        </w:tc>
        <w:tc>
          <w:tcPr>
            <w:tcW w:type="dxa" w:w="3135"/>
          </w:tcPr>
          <w:p>
            <w:pPr>
              <w:bidi w:val="1"/>
              <w:jc w:val="right"/>
            </w:pPr>
            <w:r>
              <w:t>مراجعة جميع endpoints</w:t>
            </w:r>
          </w:p>
        </w:tc>
        <w:tc>
          <w:tcPr>
            <w:tcW w:type="dxa" w:w="3135"/>
          </w:tcPr>
          <w:p>
            <w:pPr>
              <w:bidi w:val="1"/>
              <w:jc w:val="right"/>
            </w:pPr>
            <w:r>
              <w:t>Backend + QA</w:t>
            </w:r>
          </w:p>
        </w:tc>
      </w:tr>
      <w:tr>
        <w:tc>
          <w:tcPr>
            <w:tcW w:type="dxa" w:w="3135"/>
          </w:tcPr>
          <w:p>
            <w:pPr>
              <w:bidi w:val="1"/>
              <w:jc w:val="right"/>
            </w:pPr>
            <w:r>
              <w:t>P2 — مهم</w:t>
            </w:r>
          </w:p>
        </w:tc>
        <w:tc>
          <w:tcPr>
            <w:tcW w:type="dxa" w:w="3135"/>
          </w:tcPr>
          <w:p>
            <w:pPr>
              <w:bidi w:val="1"/>
              <w:jc w:val="right"/>
            </w:pPr>
            <w:r>
              <w:t>Retest شامل</w:t>
            </w:r>
          </w:p>
        </w:tc>
        <w:tc>
          <w:tcPr>
            <w:tcW w:type="dxa" w:w="3135"/>
          </w:tcPr>
          <w:p>
            <w:pPr>
              <w:bidi w:val="1"/>
              <w:jc w:val="right"/>
            </w:pPr>
            <w:r>
              <w:t>فريق الاختبار</w:t>
            </w:r>
          </w:p>
        </w:tc>
      </w:tr>
    </w:tbl>
    <w:p/>
    <w:p>
      <w:pPr>
        <w:bidi w:val="1"/>
        <w:jc w:val="right"/>
      </w:pPr>
      <w:r>
        <w:rPr>
          <w:rFonts w:ascii="Arial" w:hAnsi="Arial" w:asciiTheme="minorHAnsi"/>
          <w:b/>
          <w:sz w:val="32"/>
        </w:rPr>
        <w:t>7. الخلاصة</w:t>
      </w:r>
    </w:p>
    <w:p>
      <w:pPr>
        <w:bidi w:val="1"/>
        <w:jc w:val="right"/>
      </w:pPr>
      <w:r>
        <w:rPr>
          <w:rFonts w:ascii="Arial" w:hAnsi="Arial"/>
          <w:b w:val="0"/>
          <w:sz w:val="24"/>
        </w:rPr>
        <w:t>التقرير يكشف سلسلة هجوم متكاملة: Misconfiguration (Host) → Broken Access Control → IDOR. يتطلب الإصلاح تنسيقاً بين البنية التحتية والتطبيق، ثم retest قبل إعلان إغلاق الحادث.</w:t>
      </w:r>
    </w:p>
    <w:p>
      <w:pPr>
        <w:bidi w:val="1"/>
        <w:jc w:val="right"/>
      </w:pPr>
      <w:r>
        <w:rPr>
          <w:rFonts w:ascii="Arial" w:hAnsi="Arial"/>
          <w:b w:val="0"/>
          <w:sz w:val="24"/>
        </w:rPr>
        <w:t>مصدر التحليل: تقرير اختبار الاختراق — بوابة المراجعين / المرور العراقي — 13/8/2026</w:t>
      </w:r>
    </w:p>
    <w:sectPr w:rsidR="00FC693F" w:rsidRPr="0006063C" w:rsidSect="00034616">
      <w:pgSz w:w="12240" w:h="15840"/>
      <w:pgMar w:top="1134" w:right="1417" w:bottom="1134" w:left="1417"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