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Gotong Royong sebagai Modal Sosial dalam Pembangunan Desa</w:t>
      </w:r>
    </w:p>
    <w:p>
      <w:pPr>
        <w:pStyle w:val="Heading1"/>
      </w:pPr>
      <w:r>
        <w:t>Pendahuluan</w:t>
      </w:r>
    </w:p>
    <w:p>
      <w:r>
        <w:t>Gotong royong merupakan salah satu nilai budaya yang telah lama menjadi fondasi kehidupan sosial masyarakat pedesaan di Indonesia. Praktik ini tercatat telah berkontribusi terhadap 3.5 persen peningkatan partisipasi warga dalam proyek pembangunan desa, menurut Susanto dkk. Penelitian ini bertujuan untuk mengkaji bagaimana gotong royong dapat dimanfaatkan sebagai modal sosial dalam program pembangunan berkelanjutan.</w:t>
      </w:r>
      <w:r>
        <w:rPr>
          <w:vertAlign w:val="superscript"/>
        </w:rPr>
        <w:footnoteReference w:id="2"/>
      </w:r>
    </w:p>
    <w:p>
      <w:r>
        <w:t>Selain gotong royong, terdapat pula istilah sambatan yang digunakan di beberapa wilayah Jawa untuk menggambarkan praktik serupa. Kedua istilah ini mencerminkan nilai kolektivitas yang kuat dalam masyarakat agraris.</w:t>
      </w:r>
    </w:p>
    <w:p>
      <w:pPr>
        <w:pStyle w:val="Heading1"/>
      </w:pPr>
      <w:r>
        <w:t>Metode</w:t>
      </w:r>
    </w:p>
    <w:p>
      <w:r>
        <w:t>Penelitian ini menggunakan pendekatan kualitatif dengan studi kasus di tiga desa. Data dikumpulkan melalui wawancara mendalam dan observasi partisipatif selama enam bulan.</w:t>
      </w:r>
    </w:p>
    <w:p>
      <w:r>
        <w:t>Tahapan penelitian meliputi:</w:t>
      </w:r>
    </w:p>
    <w:p>
      <w:pPr>
        <w:pStyle w:val="ListBullet"/>
      </w:pPr>
      <w:r>
        <w:t>Identifikasi lokasi penelitian</w:t>
      </w:r>
    </w:p>
    <w:p>
      <w:pPr>
        <w:pStyle w:val="ListBullet"/>
      </w:pPr>
      <w:r>
        <w:t>Pengumpulan data lapangan</w:t>
      </w:r>
    </w:p>
    <w:p>
      <w:pPr>
        <w:pStyle w:val="ListBullet"/>
      </w:pPr>
      <w:r>
        <w:t>Analisis tematik terhadap hasil wawancara</w:t>
      </w:r>
    </w:p>
    <w:tbl>
      <w:tblPr>
        <w:tblStyle w:val="LightGrid-Accent1"/>
        <w:tblW w:type="auto" w:w="0"/>
        <w:tblLook w:firstColumn="1" w:firstRow="1" w:lastColumn="0" w:lastRow="0" w:noHBand="0" w:noVBand="1" w:val="04A0"/>
      </w:tblPr>
      <w:tblGrid>
        <w:gridCol w:w="4320"/>
        <w:gridCol w:w="4320"/>
      </w:tblGrid>
      <w:tr>
        <w:tc>
          <w:tcPr>
            <w:tcW w:type="dxa" w:w="4320"/>
          </w:tcPr>
          <w:p>
            <w:r>
              <w:t>Desa</w:t>
            </w:r>
          </w:p>
        </w:tc>
        <w:tc>
          <w:tcPr>
            <w:tcW w:type="dxa" w:w="4320"/>
          </w:tcPr>
          <w:p>
            <w:r>
              <w:t>Jumlah Partisipan</w:t>
            </w:r>
          </w:p>
        </w:tc>
      </w:tr>
      <w:tr>
        <w:tc>
          <w:tcPr>
            <w:tcW w:type="dxa" w:w="4320"/>
          </w:tcPr>
          <w:p>
            <w:r>
              <w:t>Desa Sukamaju</w:t>
            </w:r>
          </w:p>
        </w:tc>
        <w:tc>
          <w:tcPr>
            <w:tcW w:type="dxa" w:w="4320"/>
          </w:tcPr>
          <w:p>
            <w:r>
              <w:t>42</w:t>
            </w:r>
          </w:p>
        </w:tc>
      </w:tr>
      <w:tr>
        <w:tc>
          <w:tcPr>
            <w:tcW w:type="dxa" w:w="4320"/>
          </w:tcPr>
          <w:p>
            <w:r>
              <w:t>Desa Cibunar</w:t>
            </w:r>
          </w:p>
        </w:tc>
        <w:tc>
          <w:tcPr>
            <w:tcW w:type="dxa" w:w="4320"/>
          </w:tcPr>
          <w:p>
            <w:r>
              <w:t>37</w:t>
            </w:r>
          </w:p>
        </w:tc>
      </w:tr>
      <w:tr>
        <w:tc>
          <w:tcPr>
            <w:tcW w:type="dxa" w:w="4320"/>
          </w:tcPr>
          <w:p>
            <w:r>
              <w:t>Desa Margasari</w:t>
            </w:r>
          </w:p>
        </w:tc>
        <w:tc>
          <w:tcPr>
            <w:tcW w:type="dxa" w:w="4320"/>
          </w:tcPr>
          <w:p>
            <w:r>
              <w:t>51</w:t>
            </w:r>
          </w:p>
        </w:tc>
      </w:tr>
    </w:tbl>
    <w:p>
      <w:r>
        <w:drawing>
          <wp:inline xmlns:a="http://schemas.openxmlformats.org/drawingml/2006/main" xmlns:pic="http://schemas.openxmlformats.org/drawingml/2006/picture">
            <wp:extent cx="2743200" cy="1714500"/>
            <wp:docPr id="1" name="Picture 1"/>
            <wp:cNvGraphicFramePr>
              <a:graphicFrameLocks noChangeAspect="1"/>
            </wp:cNvGraphicFramePr>
            <a:graphic>
              <a:graphicData uri="http://schemas.openxmlformats.org/drawingml/2006/picture">
                <pic:pic>
                  <pic:nvPicPr>
                    <pic:cNvPr id="0" name="_chart.png"/>
                    <pic:cNvPicPr/>
                  </pic:nvPicPr>
                  <pic:blipFill>
                    <a:blip r:embed="rId9"/>
                    <a:stretch>
                      <a:fillRect/>
                    </a:stretch>
                  </pic:blipFill>
                  <pic:spPr>
                    <a:xfrm>
                      <a:off x="0" y="0"/>
                      <a:ext cx="2743200" cy="1714500"/>
                    </a:xfrm>
                    <a:prstGeom prst="rect"/>
                  </pic:spPr>
                </pic:pic>
              </a:graphicData>
            </a:graphic>
          </wp:inline>
        </w:drawing>
      </w:r>
    </w:p>
    <w:p>
      <w:pPr>
        <w:pStyle w:val="Caption"/>
      </w:pPr>
      <w:r>
        <w:t>Gambar 1. Grafik partisipasi warga per desa.</w:t>
      </w:r>
    </w:p>
    <w:p>
      <w:pPr>
        <w:pStyle w:val="Heading1"/>
      </w:pPr>
      <w:r>
        <w:t>Kesimpulan</w:t>
      </w:r>
    </w:p>
    <w:p>
      <w:r>
        <w:t>Gotong royong terbukti menjadi modal sosial yang efektif dalam mendorong partisipasi warga desa. Pemerintah daerah disarankan untuk mengintegrasikan nilai ini ke dalam kebijakan pembangunan desa.</w:t>
      </w:r>
    </w:p>
    <w:p>
      <w:pPr>
        <w:pStyle w:val="Heading1"/>
      </w:pPr>
      <w:r>
        <w:t>Daftar Pustaka</w:t>
      </w:r>
    </w:p>
    <w:p>
      <w:r>
        <w:t>Susanto, A., Wibowo, B., &amp; Rahayu, C. (2019). Modal sosial dan pembangunan desa. Jurnal Sosiologi Pedesaan, 12(1), 45-60.</w:t>
      </w:r>
    </w:p>
    <w:p>
      <w:r>
        <w:t>Hidayat, R. (2021). Gotong royong dalam perspektif antropologi. Yogyakarta: Gadjah Mada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2">
    <w:p>
      <w:r>
        <w:t xml:space="preserve">Istilah ini juga dikenal dengan nama “sambatan” di beberapa daerah Jawa.</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Footnotes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