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KEPUTUSAN MENTERI KEUANGAN REPUBLIK INDONESIA</w:t>
      </w:r>
    </w:p>
    <w:p>
      <w:pPr>
        <w:jc w:val="center"/>
      </w:pPr>
      <w:r>
        <w:t>NOMOR 88/KMK.01/2026</w:t>
      </w:r>
    </w:p>
    <w:p>
      <w:pPr>
        <w:jc w:val="center"/>
      </w:pPr>
      <w:r>
        <w:t>TENTANG</w:t>
      </w:r>
    </w:p>
    <w:p>
      <w:pPr>
        <w:jc w:val="center"/>
      </w:pPr>
      <w:r>
        <w:t>PENETAPAN PEJABAT PENGELOLA KEUANGAN DI LINGKUNGAN SEKRETARIAT JENDERAL</w:t>
      </w:r>
    </w:p>
    <w:p>
      <w:pPr>
        <w:jc w:val="center"/>
      </w:pPr>
      <w:r>
        <w:t>MENTERI KEUANGAN REPUBLIK INDONESIA,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Menimbang</w:t>
            </w:r>
          </w:p>
        </w:tc>
        <w:tc>
          <w:tcPr>
            <w:tcW w:type="dxa" w:w="4320"/>
          </w:tcPr>
          <w:p>
            <w:r>
              <w:t>a. bahwa dalam rangka tertib administrasi pengelolaan keuangan negara perlu ditetapkan pejabat pengelola keuangan;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b. bahwa berdasarkan pertimbangan sebagaimana dimaksud dalam huruf a, perlu menetapkan Peraturan Menteri Keuangan tentang Penetapan Pejabat Pengelola Keuangan;</w:t>
            </w:r>
          </w:p>
        </w:tc>
      </w:tr>
      <w:tr>
        <w:tc>
          <w:tcPr>
            <w:tcW w:type="dxa" w:w="4320"/>
          </w:tcPr>
          <w:p>
            <w:r>
              <w:t>Mengingat</w:t>
            </w:r>
          </w:p>
        </w:tc>
        <w:tc>
          <w:tcPr>
            <w:tcW w:type="dxa" w:w="4320"/>
          </w:tcPr>
          <w:p>
            <w:r>
              <w:t>1. Undang-Undang Nomor 1 Tahun 2004 tentang Perbendaharaan Negara;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2. Peraturan Menteri Keuangan Nomor 202/PMK.010/2017 tentang Tata Cara Pengelolaan Keuangan;</w:t>
            </w:r>
          </w:p>
        </w:tc>
      </w:tr>
    </w:tbl>
    <w:p>
      <w:pPr>
        <w:jc w:val="center"/>
      </w:pPr>
      <w:r>
        <w:t>M E M U T U S K A N :</w:t>
      </w:r>
    </w:p>
    <w:p>
      <w:pPr>
        <w:jc w:val="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Menetapkan</w:t>
            </w:r>
          </w:p>
        </w:tc>
        <w:tc>
          <w:tcPr>
            <w:tcW w:type="dxa" w:w="4320"/>
          </w:tcPr>
          <w:p>
            <w:r>
              <w:t>KEPUTUSAN MENTERI KEUANGAN TENTANG PENETAPAN PEJABAT PENGELOLA KEUANGAN DI LINGKUNGAN SEKRETARIAT JENDERAL.</w:t>
            </w:r>
          </w:p>
        </w:tc>
      </w:tr>
      <w:tr>
        <w:tc>
          <w:tcPr>
            <w:tcW w:type="dxa" w:w="4320"/>
          </w:tcPr>
          <w:p>
            <w:r>
              <w:t>KESATU</w:t>
            </w:r>
          </w:p>
        </w:tc>
        <w:tc>
          <w:tcPr>
            <w:tcW w:type="dxa" w:w="4320"/>
          </w:tcPr>
          <w:p>
            <w:r>
              <w:t>Menetapkan pejabat pengelola keuangan di lingkungan Sekretariat Jenderal sebagaimana tercantum dalam Lampiran yang merupakan bagian tidak terpisahkan dari Keputusan Menteri ini.</w:t>
            </w:r>
          </w:p>
        </w:tc>
      </w:tr>
      <w:tr>
        <w:tc>
          <w:tcPr>
            <w:tcW w:type="dxa" w:w="4320"/>
          </w:tcPr>
          <w:p>
            <w:r>
              <w:t>KEDUA</w:t>
            </w:r>
          </w:p>
        </w:tc>
        <w:tc>
          <w:tcPr>
            <w:tcW w:type="dxa" w:w="4320"/>
          </w:tcPr>
          <w:p>
            <w:r>
              <w:t>Keputusan Menteri ini mulai berlaku pada tanggal ditetapkan.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