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1B365D"/>
          <w:sz w:val="48"/>
        </w:rPr>
        <w:t>PRODUCT REQUIREMENT DOCUMENT (PRD)</w:t>
      </w:r>
    </w:p>
    <w:p>
      <w:pPr>
        <w:spacing w:after="720"/>
        <w:jc w:val="center"/>
      </w:pPr>
      <w:r>
        <w:rPr>
          <w:i/>
          <w:color w:val="5C768D"/>
          <w:sz w:val="28"/>
        </w:rPr>
        <w:t>Enterprise Employee Travel &amp; Expense (T&amp;E) Management System</w:t>
        <w:br/>
        <w:t>Codename: NexTravel Enterprise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4680"/>
            <w:shd w:fill="F2F4F7"/>
            <w:tcMar>
              <w:top w:w="80" w:type="dxa"/>
              <w:bottom w:w="80" w:type="dxa"/>
              <w:left w:w="100" w:type="dxa"/>
              <w:right w:w="100" w:type="dxa"/>
            </w:tcMar>
          </w:tcPr>
          <w:p>
            <w:r>
              <w:rPr>
                <w:b/>
              </w:rPr>
              <w:t>Document Version</w:t>
            </w:r>
          </w:p>
        </w:tc>
        <w:tc>
          <w:tcPr>
            <w:tcW w:type="dxa" w:w="4680"/>
            <w:tcMar>
              <w:top w:w="80" w:type="dxa"/>
              <w:bottom w:w="80" w:type="dxa"/>
              <w:left w:w="100" w:type="dxa"/>
              <w:right w:w="100" w:type="dxa"/>
            </w:tcMar>
          </w:tcPr>
          <w:p>
            <w:r>
              <w:t>1.0.0</w:t>
            </w:r>
          </w:p>
        </w:tc>
      </w:tr>
      <w:tr>
        <w:tc>
          <w:tcPr>
            <w:tcW w:type="dxa" w:w="4680"/>
            <w:shd w:fill="F2F4F7"/>
            <w:tcMar>
              <w:top w:w="80" w:type="dxa"/>
              <w:bottom w:w="80" w:type="dxa"/>
              <w:left w:w="100" w:type="dxa"/>
              <w:right w:w="100" w:type="dxa"/>
            </w:tcMar>
          </w:tcPr>
          <w:p>
            <w:r>
              <w:rPr>
                <w:b/>
              </w:rPr>
              <w:t>Authors</w:t>
            </w:r>
          </w:p>
        </w:tc>
        <w:tc>
          <w:tcPr>
            <w:tcW w:type="dxa" w:w="4680"/>
            <w:tcMar>
              <w:top w:w="80" w:type="dxa"/>
              <w:bottom w:w="80" w:type="dxa"/>
              <w:left w:w="100" w:type="dxa"/>
              <w:right w:w="100" w:type="dxa"/>
            </w:tcMar>
          </w:tcPr>
          <w:p>
            <w:r>
              <w:t>Principal Product Manager, Enterprise Solution Architect, Technical Architect, Senior Business Analyst</w:t>
            </w:r>
          </w:p>
        </w:tc>
      </w:tr>
      <w:tr>
        <w:tc>
          <w:tcPr>
            <w:tcW w:type="dxa" w:w="4680"/>
            <w:shd w:fill="F2F4F7"/>
            <w:tcMar>
              <w:top w:w="80" w:type="dxa"/>
              <w:bottom w:w="80" w:type="dxa"/>
              <w:left w:w="100" w:type="dxa"/>
              <w:right w:w="100" w:type="dxa"/>
            </w:tcMar>
          </w:tcPr>
          <w:p>
            <w:r>
              <w:rPr>
                <w:b/>
              </w:rPr>
              <w:t>Status</w:t>
            </w:r>
          </w:p>
        </w:tc>
        <w:tc>
          <w:tcPr>
            <w:tcW w:type="dxa" w:w="4680"/>
            <w:tcMar>
              <w:top w:w="80" w:type="dxa"/>
              <w:bottom w:w="80" w:type="dxa"/>
              <w:left w:w="100" w:type="dxa"/>
              <w:right w:w="100" w:type="dxa"/>
            </w:tcMar>
          </w:tcPr>
          <w:p>
            <w:r>
              <w:t>Approved for Implementation</w:t>
            </w:r>
          </w:p>
        </w:tc>
      </w:tr>
      <w:tr>
        <w:tc>
          <w:tcPr>
            <w:tcW w:type="dxa" w:w="4680"/>
            <w:shd w:fill="F2F4F7"/>
            <w:tcMar>
              <w:top w:w="80" w:type="dxa"/>
              <w:bottom w:w="80" w:type="dxa"/>
              <w:left w:w="100" w:type="dxa"/>
              <w:right w:w="100" w:type="dxa"/>
            </w:tcMar>
          </w:tcPr>
          <w:p>
            <w:r>
              <w:rPr>
                <w:b/>
              </w:rPr>
              <w:t>Target Audience</w:t>
            </w:r>
          </w:p>
        </w:tc>
        <w:tc>
          <w:tcPr>
            <w:tcW w:type="dxa" w:w="4680"/>
            <w:tcMar>
              <w:top w:w="80" w:type="dxa"/>
              <w:bottom w:w="80" w:type="dxa"/>
              <w:left w:w="100" w:type="dxa"/>
              <w:right w:w="100" w:type="dxa"/>
            </w:tcMar>
          </w:tcPr>
          <w:p>
            <w:r>
              <w:t>Product Managers, Software Engineers, UI/UX, QA, Devops Architecture Teams</w:t>
            </w:r>
          </w:p>
        </w:tc>
      </w:tr>
    </w:tbl>
    <w:p>
      <w:r>
        <w:br w:type="page"/>
      </w:r>
    </w:p>
    <w:p>
      <w:pPr>
        <w:keepNext/>
        <w:spacing w:before="360" w:after="120"/>
      </w:pPr>
      <w:r>
        <w:rPr>
          <w:rFonts w:ascii="Arial" w:hAnsi="Arial"/>
          <w:b/>
          <w:color w:val="1B365D"/>
          <w:sz w:val="36"/>
        </w:rPr>
        <w:t>1. Product Overview</w:t>
      </w:r>
    </w:p>
    <w:p>
      <w:r>
        <w:t>1.1 Product Name: Enterprise Employee Travel &amp; Expense (T&amp;E) Management System (codename: NexTravel Enterprise)</w:t>
      </w:r>
    </w:p>
    <w:p>
      <w:r>
        <w:t>1.2 Problem Statement:</w:t>
        <w:br/>
        <w:t>The organization (10,000+ employees across multi-geographical centers) tracks travel allocations, receipts, and field payouts through unstructured endpoints like manual emails, disconnected spreadsheets, and paper slips. This generates operational delays (22-day reimbursement latency), complete absence of pre-trip corporate spend forecasting, and major out-of-policy capital leakage.</w:t>
      </w:r>
    </w:p>
    <w:p>
      <w:r>
        <w:t>1.3 Business Context:</w:t>
        <w:br/>
        <w:t>Employees travel continuously for external client audits, implementation runs, and corporate events. The lack of standardized automation tools risks non-compliance with tax codes, blocks corporate travel volume rate leverage, and drives extensive resource overhead inside the financial shared services teams.</w:t>
      </w:r>
    </w:p>
    <w:p>
      <w:r>
        <w:t>1.4 Business Goals &amp; KPI Alignment:</w:t>
        <w:br/>
        <w:t>NexTravel Enterprise resolves these operational failures by consolidating requests, approvals, optical receipt parsing, and transactional banking integrations into a unified, secure system of record. Every product module engineered inside this framework directly facilitates, records, and guarantees an improvement metric outlined in the system KPI blueprint.</w:t>
      </w:r>
    </w:p>
    <w:p>
      <w:pPr>
        <w:keepNext/>
        <w:spacing w:before="360" w:after="120"/>
      </w:pPr>
      <w:r>
        <w:rPr>
          <w:rFonts w:ascii="Arial" w:hAnsi="Arial"/>
          <w:b/>
          <w:color w:val="1B365D"/>
          <w:sz w:val="36"/>
        </w:rPr>
        <w:t>2. Product Vision</w:t>
      </w:r>
    </w:p>
    <w:p>
      <w:r>
        <w:t>2.1 Mission:</w:t>
        <w:br/>
        <w:t>To establish a highly robust, performant enterprise T&amp;E framework that shifts administrative burdens into real-time transactional financial clarity, letting employees submit claims frictionlessly while preserving compliance controls.</w:t>
      </w:r>
    </w:p>
    <w:p>
      <w:r>
        <w:t>2.2 Strategic Objectives:</w:t>
      </w:r>
    </w:p>
    <w:p>
      <w:pPr>
        <w:pStyle w:val="ListBullet"/>
        <w:spacing w:after="60"/>
      </w:pPr>
      <w:r>
        <w:t>Process Automation: Replace spreadsheet entry loops with automated schema ingestions and integrated enterprise directories.</w:t>
      </w:r>
    </w:p>
    <w:p>
      <w:pPr>
        <w:pStyle w:val="ListBullet"/>
        <w:spacing w:after="60"/>
      </w:pPr>
      <w:r>
        <w:t>Velocity Optimization: Push request pre-authorizations under 18 hours and final electronic bank settlements under 5 business days.</w:t>
      </w:r>
    </w:p>
    <w:p>
      <w:pPr>
        <w:pStyle w:val="ListBullet"/>
        <w:spacing w:after="60"/>
      </w:pPr>
      <w:r>
        <w:t>Proactive Cost Containment: Enforce corporate policy boundaries directly inside UI structures to prevent cost overruns.</w:t>
      </w:r>
    </w:p>
    <w:p>
      <w:pPr>
        <w:pStyle w:val="ListBullet"/>
        <w:spacing w:after="60"/>
      </w:pPr>
      <w:r>
        <w:t>Scalability Core: Support 3,500+ concurrent operational sessions smoothly while upholding a 99.95% system core availability profile.</w:t>
      </w:r>
    </w:p>
    <w:p>
      <w:pPr>
        <w:keepNext/>
        <w:spacing w:before="360" w:after="120"/>
      </w:pPr>
      <w:r>
        <w:rPr>
          <w:rFonts w:ascii="Arial" w:hAnsi="Arial"/>
          <w:b/>
          <w:color w:val="1B365D"/>
          <w:sz w:val="36"/>
        </w:rPr>
        <w:t>3. Stakeholders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4680"/>
            <w:shd w:fill="1B363D"/>
          </w:tcPr>
          <w:p>
            <w:r>
              <w:rPr>
                <w:b/>
                <w:color w:val="FFFFFF"/>
              </w:rPr>
              <w:t>Stakeholder Group</w:t>
            </w:r>
          </w:p>
        </w:tc>
        <w:tc>
          <w:tcPr>
            <w:tcW w:type="dxa" w:w="4680"/>
            <w:shd w:fill="1B365D"/>
          </w:tcPr>
          <w:p>
            <w:r>
              <w:rPr>
                <w:b/>
                <w:color w:val="FFFFFF"/>
              </w:rPr>
              <w:t>Primary System Interest &amp; Mandate</w:t>
            </w:r>
          </w:p>
        </w:tc>
      </w:tr>
      <w:tr>
        <w:tc>
          <w:tcPr>
            <w:tcW w:type="dxa" w:w="4680"/>
          </w:tcPr>
          <w:p>
            <w:r>
              <w:rPr>
                <w:b/>
              </w:rPr>
              <w:t>Employees</w:t>
            </w:r>
          </w:p>
        </w:tc>
        <w:tc>
          <w:tcPr>
            <w:tcW w:type="dxa" w:w="4680"/>
          </w:tcPr>
          <w:p>
            <w:r>
              <w:t>Seamless mobile data uploads, speed of processing, low-friction reimbursement pipelines.</w:t>
            </w:r>
          </w:p>
        </w:tc>
      </w:tr>
      <w:tr>
        <w:tc>
          <w:tcPr>
            <w:tcW w:type="dxa" w:w="4680"/>
            <w:shd w:fill="F9FAFB"/>
          </w:tcPr>
          <w:p>
            <w:r>
              <w:rPr>
                <w:b/>
              </w:rPr>
              <w:t>Line Managers</w:t>
            </w:r>
          </w:p>
        </w:tc>
        <w:tc>
          <w:tcPr>
            <w:tcW w:type="dxa" w:w="4680"/>
            <w:shd w:fill="F9FAFB"/>
          </w:tcPr>
          <w:p>
            <w:r>
              <w:t>Clear visual tracking pipelines, automated notifications, fast queue approvals.</w:t>
            </w:r>
          </w:p>
        </w:tc>
      </w:tr>
      <w:tr>
        <w:tc>
          <w:tcPr>
            <w:tcW w:type="dxa" w:w="4680"/>
          </w:tcPr>
          <w:p>
            <w:r>
              <w:rPr>
                <w:b/>
              </w:rPr>
              <w:t>Department Heads</w:t>
            </w:r>
          </w:p>
        </w:tc>
        <w:tc>
          <w:tcPr>
            <w:tcW w:type="dxa" w:w="4680"/>
          </w:tcPr>
          <w:p>
            <w:r>
              <w:t>Live team budget tracking charts, expense variance overviews, cost allocation controls.</w:t>
            </w:r>
          </w:p>
        </w:tc>
      </w:tr>
      <w:tr>
        <w:tc>
          <w:tcPr>
            <w:tcW w:type="dxa" w:w="4680"/>
            <w:shd w:fill="F9FAFB"/>
          </w:tcPr>
          <w:p>
            <w:r>
              <w:rPr>
                <w:b/>
              </w:rPr>
              <w:t>Finance Team</w:t>
            </w:r>
          </w:p>
        </w:tc>
        <w:tc>
          <w:tcPr>
            <w:tcW w:type="dxa" w:w="4680"/>
            <w:shd w:fill="F9FAFB"/>
          </w:tcPr>
          <w:p>
            <w:r>
              <w:t>Automated duplicate flag tracking, matching GL categorization, clean ledger clearing workflows.</w:t>
            </w:r>
          </w:p>
        </w:tc>
      </w:tr>
      <w:tr>
        <w:tc>
          <w:tcPr>
            <w:tcW w:type="dxa" w:w="4680"/>
          </w:tcPr>
          <w:p>
            <w:r>
              <w:rPr>
                <w:b/>
              </w:rPr>
              <w:t>HR / Travel Admin</w:t>
            </w:r>
          </w:p>
        </w:tc>
        <w:tc>
          <w:tcPr>
            <w:tcW w:type="dxa" w:w="4680"/>
          </w:tcPr>
          <w:p>
            <w:r>
              <w:t>Duty-of-care destination vectors, employee profiles syncing, policy rule configuration.</w:t>
            </w:r>
          </w:p>
        </w:tc>
      </w:tr>
      <w:tr>
        <w:tc>
          <w:tcPr>
            <w:tcW w:type="dxa" w:w="4680"/>
            <w:shd w:fill="F9FAFB"/>
          </w:tcPr>
          <w:p>
            <w:r>
              <w:rPr>
                <w:b/>
              </w:rPr>
              <w:t>System Administrators</w:t>
            </w:r>
          </w:p>
        </w:tc>
        <w:tc>
          <w:tcPr>
            <w:tcW w:type="dxa" w:w="4680"/>
            <w:shd w:fill="F9FAFB"/>
          </w:tcPr>
          <w:p>
            <w:r>
              <w:t>Airtight RBAC controls, microservices status monitoring, secure immutable audit logs.</w:t>
            </w:r>
          </w:p>
        </w:tc>
      </w:tr>
      <w:tr>
        <w:tc>
          <w:tcPr>
            <w:tcW w:type="dxa" w:w="4680"/>
          </w:tcPr>
          <w:p>
            <w:r>
              <w:rPr>
                <w:b/>
              </w:rPr>
              <w:t>Executive Leadership</w:t>
            </w:r>
          </w:p>
        </w:tc>
        <w:tc>
          <w:tcPr>
            <w:tcW w:type="dxa" w:w="4680"/>
          </w:tcPr>
          <w:p>
            <w:r>
              <w:t>Global spend tracking maps, corporate savings tracking, definitive software ROI tracking.</w:t>
            </w:r>
          </w:p>
        </w:tc>
      </w:tr>
    </w:tbl>
    <w:p>
      <w:pPr>
        <w:keepNext/>
        <w:spacing w:before="360" w:after="120"/>
      </w:pPr>
      <w:r>
        <w:rPr>
          <w:rFonts w:ascii="Arial" w:hAnsi="Arial"/>
          <w:b/>
          <w:color w:val="1B365D"/>
          <w:sz w:val="36"/>
        </w:rPr>
        <w:t>4. User Personas</w:t>
      </w:r>
    </w:p>
    <w:p>
      <w:pPr>
        <w:keepNext/>
        <w:spacing w:before="280" w:after="80"/>
      </w:pPr>
      <w:r>
        <w:rPr>
          <w:rFonts w:ascii="Arial" w:hAnsi="Arial"/>
          <w:b/>
          <w:color w:val="5C768D"/>
          <w:sz w:val="28"/>
        </w:rPr>
        <w:t>4.1 Vikram – The Field Consultant (Frequent Traveler)</w:t>
      </w:r>
    </w:p>
    <w:p>
      <w:r>
        <w:t>Responsibilities: Delivering onsite audit execution, organizing project traveling paths, tracking and logging individual travel bills.</w:t>
      </w:r>
    </w:p>
    <w:p>
      <w:r>
        <w:t>Goals: Eliminate admin overhead for manual receipt retention; achieve reliable out-of-pocket settlement times.</w:t>
      </w:r>
    </w:p>
    <w:p>
      <w:r>
        <w:t>Pain Points: Losing paper receipts, encountering complex policy rules that change across cities, high personal card processing lags.</w:t>
      </w:r>
    </w:p>
    <w:p>
      <w:r>
        <w:t>KPIs Impacted: TR-01 (Submission Volume), EM-01 (Submission Rate), EX-01 (CSAT).</w:t>
      </w:r>
    </w:p>
    <w:p>
      <w:pPr>
        <w:keepNext/>
        <w:spacing w:before="280" w:after="80"/>
      </w:pPr>
      <w:r>
        <w:rPr>
          <w:rFonts w:ascii="Arial" w:hAnsi="Arial"/>
          <w:b/>
          <w:color w:val="5C768D"/>
          <w:sz w:val="28"/>
        </w:rPr>
        <w:t>4.2 Sarah – The Line Manager (Approver)</w:t>
      </w:r>
    </w:p>
    <w:p>
      <w:r>
        <w:t>Responsibilities: Project resource allocations, team operational health tracking, validating and authorizing travel plans and cost entries.</w:t>
      </w:r>
    </w:p>
    <w:p>
      <w:r>
        <w:t>Goals: Fast transaction processing without blocking timelines or exceeding department budget margins.</w:t>
      </w:r>
    </w:p>
    <w:p>
      <w:r>
        <w:t>Pain Points: Inbox overload, processing approval decisions while traveling, lack of direct context on remaining cost center budgets.</w:t>
      </w:r>
    </w:p>
    <w:p>
      <w:r>
        <w:t>KPIs Impacted: TR-02 (Approval Turnaround), AW-01 (Average Approval Time), AW-03 (SLA Compliance Rate).</w:t>
      </w:r>
    </w:p>
    <w:p>
      <w:pPr>
        <w:keepNext/>
        <w:spacing w:before="360" w:after="120"/>
      </w:pPr>
      <w:r>
        <w:rPr>
          <w:rFonts w:ascii="Arial" w:hAnsi="Arial"/>
          <w:b/>
          <w:color w:val="1B365D"/>
          <w:sz w:val="36"/>
        </w:rPr>
        <w:t>5. Functional Modules</w:t>
      </w:r>
    </w:p>
    <w:p>
      <w:pPr>
        <w:keepNext/>
        <w:spacing w:before="280" w:after="80"/>
      </w:pPr>
      <w:r>
        <w:rPr>
          <w:rFonts w:ascii="Arial" w:hAnsi="Arial"/>
          <w:b/>
          <w:color w:val="5C768D"/>
          <w:sz w:val="28"/>
        </w:rPr>
        <w:t>5.1 Travel Request Management</w:t>
      </w:r>
    </w:p>
    <w:p>
      <w:r>
        <w:t>Features: Create/Edit/Cancel Request pipelines, comprehensive historical filterable data grids, visual real-time status tracker lines.</w:t>
      </w:r>
    </w:p>
    <w:p>
      <w:r>
        <w:t>Business Rules: Pre-trip authorizations must achieve an APPROVED state prior to activating subsequent expense filing parameters or booking integrations. International plans require explicit visa status tracking variables.</w:t>
      </w:r>
    </w:p>
    <w:p>
      <w:r>
        <w:t>Validation Rules: Systems must enforce that Departure Date &gt;= current date + 3 days (Domestic) or &gt;= current date + 14 days (International), otherwise prompting mandatory high-level business overrides.</w:t>
      </w:r>
    </w:p>
    <w:p>
      <w:pPr>
        <w:keepNext/>
        <w:spacing w:before="280" w:after="80"/>
      </w:pPr>
      <w:r>
        <w:rPr>
          <w:rFonts w:ascii="Arial" w:hAnsi="Arial"/>
          <w:b/>
          <w:color w:val="5C768D"/>
          <w:sz w:val="28"/>
        </w:rPr>
        <w:t>5.2 Approval Workflow Management</w:t>
      </w:r>
    </w:p>
    <w:p>
      <w:r>
        <w:t>Features: Multi-level dynamic hierarchy evaluation, configurable dollar-threshold routing rules, automated SLA escalation workers, active delegation proxies.</w:t>
      </w:r>
    </w:p>
    <w:p>
      <w:r>
        <w:t>SLA Logic: Platform enforces an 18-to-24 hour decision boundary. If items remain un-actioned over 24 hours, an automated worker transfers ownership to the next supervisor level and logs an escalation metrics point.</w:t>
      </w:r>
    </w:p>
    <w:p>
      <w:pPr>
        <w:keepNext/>
        <w:spacing w:before="280" w:after="80"/>
      </w:pPr>
      <w:r>
        <w:rPr>
          <w:rFonts w:ascii="Arial" w:hAnsi="Arial"/>
          <w:b/>
          <w:color w:val="5C768D"/>
          <w:sz w:val="28"/>
        </w:rPr>
        <w:t>5.3 Expense Management</w:t>
      </w:r>
    </w:p>
    <w:p>
      <w:r>
        <w:t>Features: Multi-itemized expense forms attached to a valid Travel Request ID, asynchronous secure receipt drag-drop loaders, dynamic currency normalization handlers.</w:t>
      </w:r>
    </w:p>
    <w:p>
      <w:r>
        <w:t>Validation Rules: Valid receipt images are strictly mandatory for any entry &gt;= $25.00 USD. Daily meal entry configurations are bounded against a city per-diem matrix. System runs internal background checks to isolate matching amounts, dates, and vendors to block duplicate entries.</w:t>
      </w:r>
    </w:p>
    <w:p>
      <w:pPr>
        <w:keepNext/>
        <w:spacing w:before="280" w:after="80"/>
      </w:pPr>
      <w:r>
        <w:rPr>
          <w:rFonts w:ascii="Arial" w:hAnsi="Arial"/>
          <w:b/>
          <w:color w:val="5C768D"/>
          <w:sz w:val="28"/>
        </w:rPr>
        <w:t>5.4 Reimbursement Management</w:t>
      </w:r>
    </w:p>
    <w:p>
      <w:r>
        <w:t>Features: Bulk verification workflows for accounting staff, automated extraction of NACHA/ACH/SEPA compliance bank transfer files, error tracking mechanisms.</w:t>
      </w:r>
    </w:p>
    <w:p>
      <w:pPr>
        <w:keepNext/>
        <w:spacing w:before="360" w:after="120"/>
      </w:pPr>
      <w:r>
        <w:rPr>
          <w:rFonts w:ascii="Arial" w:hAnsi="Arial"/>
          <w:b/>
          <w:color w:val="1B365D"/>
          <w:sz w:val="36"/>
        </w:rPr>
        <w:t>6. User Stories</w:t>
      </w:r>
    </w:p>
    <w:p>
      <w:r>
        <w:t>US-101: Pre-Trip Authorization</w:t>
        <w:br/>
        <w:t>As an Employee Traveler, I want to submit a digital travel request with estimated costs, so that I can secure management approval and utilize corporate booking rates.</w:t>
        <w:br/>
        <w:t>AC1: Validate that all required parameters are fully entered.</w:t>
        <w:br/>
        <w:t>AC2: UI must display real-time budget availability during drafting steps.</w:t>
        <w:br/>
        <w:t>AC3: Submission transfers state to PENDING_APPROVAL under 1 second.</w:t>
      </w:r>
    </w:p>
    <w:p>
      <w:r>
        <w:t>US-202: Mobile Receipt Capture &amp; Policy Guard</w:t>
        <w:br/>
        <w:t>As an Employee Traveler, I want to upload a receipt from my mobile device and assign it to an expense category, so that the system can instantly run policy checks and flag any compliance issues before I submit.</w:t>
        <w:br/>
        <w:t>AC1: Block submit actions if lines &gt;= $25 miss receipt attachments.</w:t>
        <w:br/>
        <w:t>AC2: Enforce per-diem caps and require 150-character explanations if overridden.</w:t>
      </w:r>
    </w:p>
    <w:p>
      <w:pPr>
        <w:keepNext/>
        <w:spacing w:before="360" w:after="120"/>
      </w:pPr>
      <w:r>
        <w:rPr>
          <w:rFonts w:ascii="Arial" w:hAnsi="Arial"/>
          <w:b/>
          <w:color w:val="1B365D"/>
          <w:sz w:val="36"/>
        </w:rPr>
        <w:t>7. Frontend Architecture</w:t>
      </w:r>
    </w:p>
    <w:p>
      <w:r>
        <w:t>Framework Stack: React.js v19, Redux Toolkit state management layers, Axios client network abstractions, React Query server caching layers.</w:t>
      </w:r>
    </w:p>
    <w:p>
      <w:r>
        <w:t>Performance Enforcements: Modular feature-based folder structures. Lazy loading boundaries divide system pages ensuring primary landing bundles remain under 350KB. Large layout structures use virtual scrolling engines to keep DOM rendering elements minimal.</w:t>
      </w:r>
    </w:p>
    <w:p>
      <w:pPr>
        <w:keepNext/>
        <w:spacing w:before="360" w:after="120"/>
      </w:pPr>
      <w:r>
        <w:rPr>
          <w:rFonts w:ascii="Arial" w:hAnsi="Arial"/>
          <w:b/>
          <w:color w:val="1B365D"/>
          <w:sz w:val="36"/>
        </w:rPr>
        <w:t>8. Backend Architecture</w:t>
      </w:r>
    </w:p>
    <w:p>
      <w:r>
        <w:t>Core Microservices Engine: Node.js LTS, Express.js microservices frameworks, Sequelize ORM database connectors. The ecosystem is split into decoupled layers:</w:t>
      </w:r>
    </w:p>
    <w:p>
      <w:pPr>
        <w:pStyle w:val="ListBullet"/>
        <w:spacing w:after="60"/>
      </w:pPr>
      <w:r>
        <w:t>User Service: Identity lifecycles, JWT token refreshes, corporate directory alignments.</w:t>
      </w:r>
    </w:p>
    <w:p>
      <w:pPr>
        <w:pStyle w:val="ListBullet"/>
        <w:spacing w:after="60"/>
      </w:pPr>
      <w:r>
        <w:t>Travel Service: Pre-trip planning logic, itinerary status records, modifications.</w:t>
      </w:r>
    </w:p>
    <w:p>
      <w:pPr>
        <w:pStyle w:val="ListBullet"/>
        <w:spacing w:after="60"/>
      </w:pPr>
      <w:r>
        <w:t>Approval Service: Multi-level matrices routing engine, automated SLA timers.</w:t>
      </w:r>
    </w:p>
    <w:p>
      <w:pPr>
        <w:pStyle w:val="ListBullet"/>
        <w:spacing w:after="60"/>
      </w:pPr>
      <w:r>
        <w:t>Expense Service: File attachments routing, duplicate checking loops, compliance rules verification.</w:t>
      </w:r>
    </w:p>
    <w:p>
      <w:pPr>
        <w:pStyle w:val="ListBullet"/>
        <w:spacing w:after="60"/>
      </w:pPr>
      <w:r>
        <w:t>Reimbursement Service: ACH automated aggregation, payout tracking state models.</w:t>
      </w:r>
    </w:p>
    <w:p>
      <w:pPr>
        <w:keepNext/>
        <w:spacing w:before="360" w:after="120"/>
      </w:pPr>
      <w:r>
        <w:rPr>
          <w:rFonts w:ascii="Arial" w:hAnsi="Arial"/>
          <w:b/>
          <w:color w:val="1B365D"/>
          <w:sz w:val="36"/>
        </w:rPr>
        <w:t>9. Database Design</w:t>
      </w:r>
    </w:p>
    <w:p>
      <w:r>
        <w:t>Ecosystem Data Pool: MySQL engine running highly normalized tables utilizing foreign keys, strict cascades, and audit parameters.</w:t>
      </w:r>
    </w:p>
    <w:p>
      <w:r>
        <w:t>Optimized Performance Indexes:</w:t>
      </w:r>
    </w:p>
    <w:p>
      <w:pPr>
        <w:pStyle w:val="ListBullet"/>
        <w:spacing w:after="60"/>
      </w:pPr>
      <w:r>
        <w:t>idx_approvals_approver_status on travel_approvals(approver_id, status)</w:t>
      </w:r>
    </w:p>
    <w:p>
      <w:pPr>
        <w:pStyle w:val="ListBullet"/>
        <w:spacing w:after="60"/>
      </w:pPr>
      <w:r>
        <w:t>idx_expenses_date_amount on expense_items(transaction_date, amount)</w:t>
      </w:r>
    </w:p>
    <w:p>
      <w:pPr>
        <w:pStyle w:val="ListBullet"/>
        <w:spacing w:after="60"/>
      </w:pPr>
      <w:r>
        <w:t>idx_expense_dup_check on expense_items(transaction_date, amount, category)</w:t>
      </w:r>
    </w:p>
    <w:p>
      <w:pPr>
        <w:keepNext/>
        <w:spacing w:before="360" w:after="120"/>
      </w:pPr>
      <w:r>
        <w:rPr>
          <w:rFonts w:ascii="Arial" w:hAnsi="Arial"/>
          <w:b/>
          <w:color w:val="1B365D"/>
          <w:sz w:val="36"/>
        </w:rPr>
        <w:t>10. Security Architecture</w:t>
      </w:r>
    </w:p>
    <w:p>
      <w:r>
        <w:t>Authentication Strategy: Access tokens expire at 15 minutes, passed strictly in code variables. Refresh tokens are secured in HttpOnly, SameSite=Strict, Secure cookie headers with a 7-day expiration boundary.</w:t>
      </w:r>
    </w:p>
    <w:p>
      <w:r>
        <w:t>Data Protection: Parameters run through input validation matrices (Joi handlers) and Sequelize parameterized query bounds to block SQL injection risks. System volumes run transparent data encryption (AES-256) at rest.</w:t>
      </w:r>
    </w:p>
    <w:p>
      <w:pPr>
        <w:keepNext/>
        <w:spacing w:before="360" w:after="120"/>
      </w:pPr>
      <w:r>
        <w:rPr>
          <w:rFonts w:ascii="Arial" w:hAnsi="Arial"/>
          <w:b/>
          <w:color w:val="1B365D"/>
          <w:sz w:val="36"/>
        </w:rPr>
        <w:t>11. KPI Traceability Matrix</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2340"/>
            <w:shd w:fill="1B365D"/>
          </w:tcPr>
          <w:p>
            <w:r>
              <w:rPr>
                <w:b/>
                <w:color w:val="FFFFFF"/>
              </w:rPr>
              <w:t>KPI ID</w:t>
            </w:r>
          </w:p>
        </w:tc>
        <w:tc>
          <w:tcPr>
            <w:tcW w:type="dxa" w:w="2340"/>
            <w:shd w:fill="1B365D"/>
          </w:tcPr>
          <w:p>
            <w:r>
              <w:rPr>
                <w:b/>
                <w:color w:val="FFFFFF"/>
              </w:rPr>
              <w:t>Target System Feature</w:t>
            </w:r>
          </w:p>
        </w:tc>
        <w:tc>
          <w:tcPr>
            <w:tcW w:type="dxa" w:w="2340"/>
            <w:shd w:fill="1B365D"/>
          </w:tcPr>
          <w:p>
            <w:r>
              <w:rPr>
                <w:b/>
                <w:color w:val="FFFFFF"/>
              </w:rPr>
              <w:t>Functional Module</w:t>
            </w:r>
          </w:p>
        </w:tc>
        <w:tc>
          <w:tcPr>
            <w:tcW w:type="dxa" w:w="2340"/>
            <w:shd w:fill="1B365D"/>
          </w:tcPr>
          <w:p>
            <w:r>
              <w:rPr>
                <w:b/>
                <w:color w:val="FFFFFF"/>
              </w:rPr>
              <w:t>Success Criteria Definition</w:t>
            </w:r>
          </w:p>
        </w:tc>
      </w:tr>
      <w:tr>
        <w:tc>
          <w:tcPr>
            <w:tcW w:type="dxa" w:w="2340"/>
          </w:tcPr>
          <w:p>
            <w:r>
              <w:rPr>
                <w:b/>
              </w:rPr>
              <w:t>TR-02</w:t>
            </w:r>
          </w:p>
        </w:tc>
        <w:tc>
          <w:tcPr>
            <w:tcW w:type="dxa" w:w="2340"/>
          </w:tcPr>
          <w:p>
            <w:r>
              <w:t>Workflow Tracking Line</w:t>
            </w:r>
          </w:p>
        </w:tc>
        <w:tc>
          <w:tcPr>
            <w:tcW w:type="dxa" w:w="2340"/>
          </w:tcPr>
          <w:p>
            <w:r>
              <w:t>Travel Requests</w:t>
            </w:r>
          </w:p>
        </w:tc>
        <w:tc>
          <w:tcPr>
            <w:tcW w:type="dxa" w:w="2340"/>
          </w:tcPr>
          <w:p>
            <w:r>
              <w:t>Pre-trip request approval processing times average &lt; 18 hours.</w:t>
            </w:r>
          </w:p>
        </w:tc>
      </w:tr>
      <w:tr>
        <w:tc>
          <w:tcPr>
            <w:tcW w:type="dxa" w:w="2340"/>
            <w:shd w:fill="F9FAFB"/>
          </w:tcPr>
          <w:p>
            <w:r>
              <w:rPr>
                <w:b/>
              </w:rPr>
              <w:t>AW-03</w:t>
            </w:r>
          </w:p>
        </w:tc>
        <w:tc>
          <w:tcPr>
            <w:tcW w:type="dxa" w:w="2340"/>
            <w:shd w:fill="F9FAFB"/>
          </w:tcPr>
          <w:p>
            <w:r>
              <w:t>Auto Escalation Engine</w:t>
            </w:r>
          </w:p>
        </w:tc>
        <w:tc>
          <w:tcPr>
            <w:tcW w:type="dxa" w:w="2340"/>
            <w:shd w:fill="F9FAFB"/>
          </w:tcPr>
          <w:p>
            <w:r>
              <w:t>Approval Workflows</w:t>
            </w:r>
          </w:p>
        </w:tc>
        <w:tc>
          <w:tcPr>
            <w:tcW w:type="dxa" w:w="2340"/>
            <w:shd w:fill="F9FAFB"/>
          </w:tcPr>
          <w:p>
            <w:r>
              <w:t>Over 92% of transactional records resolve inside 24 hours.</w:t>
            </w:r>
          </w:p>
        </w:tc>
      </w:tr>
      <w:tr>
        <w:tc>
          <w:tcPr>
            <w:tcW w:type="dxa" w:w="2340"/>
          </w:tcPr>
          <w:p>
            <w:r>
              <w:rPr>
                <w:b/>
              </w:rPr>
              <w:t>EM-03</w:t>
            </w:r>
          </w:p>
        </w:tc>
        <w:tc>
          <w:tcPr>
            <w:tcW w:type="dxa" w:w="2340"/>
          </w:tcPr>
          <w:p>
            <w:r>
              <w:t>Upload Enforcement Check</w:t>
            </w:r>
          </w:p>
        </w:tc>
        <w:tc>
          <w:tcPr>
            <w:tcW w:type="dxa" w:w="2340"/>
          </w:tcPr>
          <w:p>
            <w:r>
              <w:t>Expense Management</w:t>
            </w:r>
          </w:p>
        </w:tc>
        <w:tc>
          <w:tcPr>
            <w:tcW w:type="dxa" w:w="2340"/>
          </w:tcPr>
          <w:p>
            <w:r>
              <w:t>Ensures 100% receipt tracking compliance for items &gt;= $25.</w:t>
            </w:r>
          </w:p>
        </w:tc>
      </w:tr>
      <w:tr>
        <w:tc>
          <w:tcPr>
            <w:tcW w:type="dxa" w:w="2340"/>
            <w:shd w:fill="F9FAFB"/>
          </w:tcPr>
          <w:p>
            <w:r>
              <w:rPr>
                <w:b/>
              </w:rPr>
              <w:t>EM-05</w:t>
            </w:r>
          </w:p>
        </w:tc>
        <w:tc>
          <w:tcPr>
            <w:tcW w:type="dxa" w:w="2340"/>
            <w:shd w:fill="F9FAFB"/>
          </w:tcPr>
          <w:p>
            <w:r>
              <w:t>Duplicate Ingestion Block</w:t>
            </w:r>
          </w:p>
        </w:tc>
        <w:tc>
          <w:tcPr>
            <w:tcW w:type="dxa" w:w="2340"/>
            <w:shd w:fill="F9FAFB"/>
          </w:tcPr>
          <w:p>
            <w:r>
              <w:t>Expense Management</w:t>
            </w:r>
          </w:p>
        </w:tc>
        <w:tc>
          <w:tcPr>
            <w:tcW w:type="dxa" w:w="2340"/>
            <w:shd w:fill="F9FAFB"/>
          </w:tcPr>
          <w:p>
            <w:r>
              <w:t>Automated filters achieve 100% flag capture of matching claims.</w:t>
            </w:r>
          </w:p>
        </w:tc>
      </w:tr>
      <w:tr>
        <w:tc>
          <w:tcPr>
            <w:tcW w:type="dxa" w:w="2340"/>
          </w:tcPr>
          <w:p>
            <w:r>
              <w:rPr>
                <w:b/>
              </w:rPr>
              <w:t>RE-01</w:t>
            </w:r>
          </w:p>
        </w:tc>
        <w:tc>
          <w:tcPr>
            <w:tcW w:type="dxa" w:w="2340"/>
          </w:tcPr>
          <w:p>
            <w:r>
              <w:t>ACH Generation Pipelines</w:t>
            </w:r>
          </w:p>
        </w:tc>
        <w:tc>
          <w:tcPr>
            <w:tcW w:type="dxa" w:w="2340"/>
          </w:tcPr>
          <w:p>
            <w:r>
              <w:t>Reimbursements</w:t>
            </w:r>
          </w:p>
        </w:tc>
        <w:tc>
          <w:tcPr>
            <w:tcW w:type="dxa" w:w="2340"/>
          </w:tcPr>
          <w:p>
            <w:r>
              <w:t>End-to-end user payout cycle times average &lt; 5 business days.</w:t>
            </w:r>
          </w:p>
        </w:tc>
      </w:tr>
    </w:tbl>
    <w:p>
      <w:pPr>
        <w:keepNext/>
        <w:spacing w:before="360" w:after="120"/>
      </w:pPr>
      <w:r>
        <w:rPr>
          <w:rFonts w:ascii="Arial" w:hAnsi="Arial"/>
          <w:b/>
          <w:color w:val="1B365D"/>
          <w:sz w:val="36"/>
        </w:rPr>
        <w:t>12. Reporting &amp; Dashboard Requirements</w:t>
      </w:r>
    </w:p>
    <w:p>
      <w:r>
        <w:t>12.1 Executive Dashboard: Tracks FI-01 (Total Travel Spend), FI-04 (Budget Utilization %), and FI-05 (Cost Savings). Renders via geomaps, high-level numeric metric cards, and budget trends charts. Updates once every 24 hours.</w:t>
      </w:r>
    </w:p>
    <w:p>
      <w:r>
        <w:t>12.2 Department Managers Dashboard: Tracks TR-02 (Turnaround Velocity) and AW-02 (Pending Queue Sizes). Employs color-coded priority grids and nested bar charts. Near real-time refresh loops.</w:t>
      </w:r>
    </w:p>
    <w:p>
      <w:r>
        <w:t>12.3 Finance Operations Dashboard: Tracks EM-02 (Processing Time) and EM-05 (Duplicate Rates). Uses interactive split-panel screening queues and scatter chart anomaly highlights. Syncs data continuously.</w:t>
      </w:r>
    </w:p>
    <w:p>
      <w:pPr>
        <w:keepNext/>
        <w:spacing w:before="360" w:after="120"/>
      </w:pPr>
      <w:r>
        <w:rPr>
          <w:rFonts w:ascii="Arial" w:hAnsi="Arial"/>
          <w:b/>
          <w:color w:val="1B365D"/>
          <w:sz w:val="36"/>
        </w:rPr>
        <w:t>13. Non-Functional Requirements</w:t>
      </w:r>
    </w:p>
    <w:p>
      <w:r>
        <w:t>Performance: Web transactional endpoints return JSON payloads under 2.0 seconds under maximum concurrent volumes. Complex dashboard queries render fully under 3.0 seconds.</w:t>
      </w:r>
    </w:p>
    <w:p>
      <w:r>
        <w:t>Scalability: Architecture handles 10,000+ employee definitions smoothly while maintaining stability over peak windows of 3,500+ active user instances.</w:t>
      </w:r>
    </w:p>
    <w:p>
      <w:pPr>
        <w:keepNext/>
        <w:spacing w:before="360" w:after="120"/>
      </w:pPr>
      <w:r>
        <w:rPr>
          <w:rFonts w:ascii="Arial" w:hAnsi="Arial"/>
          <w:b/>
          <w:color w:val="1B365D"/>
          <w:sz w:val="36"/>
        </w:rPr>
        <w:t>14. Testing Requirements</w:t>
      </w:r>
    </w:p>
    <w:p>
      <w:r>
        <w:t>Ecosystem Testing Strategy: 100% backend module coverage via Jest automation suites. Frontend interactions verified via React Testing Library frameworks. API interface validation handled using Supertest data loops. System scale and memory profiling tested through structured k6 load test routines.</w:t>
      </w:r>
    </w:p>
    <w:p>
      <w:pPr>
        <w:keepNext/>
        <w:spacing w:before="360" w:after="120"/>
      </w:pPr>
      <w:r>
        <w:rPr>
          <w:rFonts w:ascii="Arial" w:hAnsi="Arial"/>
          <w:b/>
          <w:color w:val="1B365D"/>
          <w:sz w:val="36"/>
        </w:rPr>
        <w:t>15. Deployment Architecture</w:t>
      </w:r>
    </w:p>
    <w:p>
      <w:r>
        <w:t>CI/CD Execution: Managed GitHub Actions deployment chains handle syntax linting, security scanning, thin Docker container packaging, and automated blue-green zero-downtime rolling canary release patterns onto container clusters.</w:t>
      </w:r>
    </w:p>
    <w:p>
      <w:pPr>
        <w:keepNext/>
        <w:spacing w:before="360" w:after="120"/>
      </w:pPr>
      <w:r>
        <w:rPr>
          <w:rFonts w:ascii="Arial" w:hAnsi="Arial"/>
          <w:b/>
          <w:color w:val="1B365D"/>
          <w:sz w:val="36"/>
        </w:rPr>
        <w:t>16. MVP Product Roadmap</w:t>
      </w:r>
    </w:p>
    <w:p>
      <w:r>
        <w:t>Phase 1 (Days 1-30): Travel Request layouts, infrastructure schema generation, core identity RBAC initialization.</w:t>
        <w:br/>
        <w:t>Phase 2 (Days 31-60): Matrix multi-level approval engines routing, automated SLA escalations, notifications systems.</w:t>
        <w:br/>
        <w:t>Phase 3 (Days 61-90): Expense module launch, line item splitting mechanics, receipt secure upload integrations, duplicate matching logic.</w:t>
        <w:br/>
        <w:t>Phase 4 (Days 91-120): Reimbursement batch files engines, payroll system ACH export connectors, bank verification loops.</w:t>
        <w:br/>
        <w:t>Phase 5 (Days 121-150): Analytics dashboards deployment, BI integrations, extensive performance engineering, production release.</w:t>
      </w:r>
    </w:p>
    <w:p>
      <w:pPr>
        <w:keepNext/>
        <w:spacing w:before="360" w:after="120"/>
      </w:pPr>
      <w:r>
        <w:rPr>
          <w:rFonts w:ascii="Arial" w:hAnsi="Arial"/>
          <w:b/>
          <w:color w:val="1B365D"/>
          <w:sz w:val="36"/>
        </w:rPr>
        <w:t>17. Future Enhancements</w:t>
      </w:r>
    </w:p>
    <w:p>
      <w:r>
        <w:t>Product Extension Roadmap:</w:t>
        <w:br/>
        <w:t>1. Cross-platform React Native mobile application supporting native storage offline capture.</w:t>
        <w:br/>
        <w:t>2. Cloud Vision AI receipt reading capabilities for hands-free form population.</w:t>
        <w:br/>
        <w:t>3. Advanced machine learning models for corporate fraud profiling.</w:t>
        <w:br/>
        <w:t>4. Direct Webhook sync integrations with ERP suites like SAP S/4HANA or Workday Core Financials.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