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b/>
          <w:color w:val="1A365D"/>
          <w:sz w:val="52"/>
        </w:rPr>
        <w:t>PRODUCT REQUIREMENTS DOCUMENT (PRD)</w:t>
        <w:br/>
      </w:r>
    </w:p>
    <w:p>
      <w:pPr>
        <w:spacing w:after="2400"/>
        <w:jc w:val="center"/>
      </w:pPr>
      <w:r>
        <w:rPr>
          <w:color w:val="2B6CB0"/>
          <w:sz w:val="32"/>
        </w:rPr>
        <w:t>Enterprise Employee Travel &amp; Expense Management System</w:t>
      </w:r>
    </w:p>
    <w:p>
      <w:pPr>
        <w:spacing w:after="80"/>
        <w:ind w:left="2160"/>
        <w:jc w:val="left"/>
      </w:pPr>
    </w:p>
    <w:p>
      <w:pPr>
        <w:spacing w:after="40"/>
        <w:ind w:left="2160"/>
      </w:pPr>
      <w:r>
        <w:rPr>
          <w:b/>
          <w:color w:val="2D3748"/>
        </w:rPr>
        <w:t>Document Version:</w:t>
      </w:r>
      <w:r>
        <w:rPr>
          <w:color w:val="2D3748"/>
        </w:rPr>
        <w:t xml:space="preserve"> 1.0</w:t>
      </w:r>
    </w:p>
    <w:p>
      <w:pPr>
        <w:spacing w:after="40"/>
        <w:ind w:left="2160"/>
      </w:pPr>
      <w:r>
        <w:rPr>
          <w:b/>
          <w:color w:val="2D3748"/>
        </w:rPr>
        <w:t>Status:</w:t>
      </w:r>
      <w:r>
        <w:rPr>
          <w:color w:val="2D3748"/>
        </w:rPr>
        <w:t xml:space="preserve"> Approved for Development</w:t>
      </w:r>
    </w:p>
    <w:p>
      <w:pPr>
        <w:spacing w:after="40"/>
        <w:ind w:left="2160"/>
      </w:pPr>
      <w:r>
        <w:rPr>
          <w:b/>
          <w:color w:val="2D3748"/>
        </w:rPr>
        <w:t>Author:</w:t>
      </w:r>
      <w:r>
        <w:rPr>
          <w:color w:val="2D3748"/>
        </w:rPr>
        <w:t xml:space="preserve"> Senior Technical Product Manager</w:t>
      </w:r>
    </w:p>
    <w:p>
      <w:pPr>
        <w:spacing w:after="40"/>
        <w:ind w:left="2160"/>
      </w:pPr>
      <w:r>
        <w:rPr>
          <w:b/>
          <w:color w:val="2D3748"/>
        </w:rPr>
        <w:t>Target Architecture:</w:t>
      </w:r>
      <w:r>
        <w:rPr>
          <w:color w:val="2D3748"/>
        </w:rPr>
        <w:t xml:space="preserve"> React 19, Node.js Microservices, MySQL</w:t>
      </w:r>
    </w:p>
    <w:p>
      <w:pPr>
        <w:spacing w:after="40"/>
        <w:ind w:left="2160"/>
      </w:pPr>
      <w:r>
        <w:rPr>
          <w:b/>
          <w:color w:val="2D3748"/>
        </w:rPr>
        <w:t>Classification:</w:t>
      </w:r>
      <w:r>
        <w:rPr>
          <w:color w:val="2D3748"/>
        </w:rPr>
        <w:t xml:space="preserve"> Internal – Confidential</w:t>
      </w:r>
    </w:p>
    <w:p>
      <w:pPr>
        <w:spacing w:after="40"/>
        <w:ind w:left="2160"/>
      </w:pPr>
      <w:r>
        <w:rPr>
          <w:b/>
          <w:color w:val="2D3748"/>
        </w:rPr>
        <w:t>Date:</w:t>
      </w:r>
      <w:r>
        <w:rPr>
          <w:color w:val="2D3748"/>
        </w:rPr>
        <w:t xml:space="preserve"> June 2026</w:t>
      </w:r>
    </w:p>
    <w:p>
      <w:r>
        <w:br w:type="page"/>
      </w:r>
    </w:p>
    <w:p>
      <w:pPr>
        <w:keepNext/>
        <w:spacing w:before="360" w:after="120"/>
      </w:pPr>
      <w:r>
        <w:rPr>
          <w:rFonts w:ascii="Calibri" w:hAnsi="Calibri"/>
          <w:b/>
          <w:color w:val="1A365D"/>
          <w:sz w:val="36"/>
        </w:rPr>
        <w:t>1. Executive Summary &amp; Project Context</w:t>
      </w:r>
    </w:p>
    <w:p>
      <w:pPr>
        <w:keepNext/>
        <w:spacing w:before="280" w:after="80"/>
      </w:pPr>
      <w:r>
        <w:rPr>
          <w:rFonts w:ascii="Calibri" w:hAnsi="Calibri"/>
          <w:b/>
          <w:color w:val="2B6CB0"/>
          <w:sz w:val="28"/>
        </w:rPr>
        <w:t>1.1 Project Background</w:t>
      </w:r>
    </w:p>
    <w:p>
      <w:r>
        <w:t>The Enterprise Employee Travel &amp; Expense Management System is a comprehensive digital transformation initiative designed for an organization with over 10,000 employees operating across multiple locations. The legacy operational state—defined by email-based travel requests, Excel-driven approvals, physical paper expense claims, and delayed reimbursements—presents substantial operational risk, absolute lack of real-time visibility, and immense manual overhead.</w:t>
      </w:r>
    </w:p>
    <w:p>
      <w:pPr>
        <w:keepNext/>
        <w:spacing w:before="280" w:after="80"/>
      </w:pPr>
      <w:r>
        <w:rPr>
          <w:rFonts w:ascii="Calibri" w:hAnsi="Calibri"/>
          <w:b/>
          <w:color w:val="2B6CB0"/>
          <w:sz w:val="28"/>
        </w:rPr>
        <w:t>1.2 Core Business Goals Mapped to Product Architecture</w:t>
      </w:r>
    </w:p>
    <w:p>
      <w:r>
        <w:t>This product must directly realize the strategic business commitments defined in the KPI Framework:</w:t>
      </w:r>
    </w:p>
    <w:p>
      <w:pPr>
        <w:pStyle w:val="ListBullet"/>
        <w:spacing w:after="60"/>
      </w:pPr>
      <w:r>
        <w:rPr>
          <w:b/>
          <w:color w:val="2D3748"/>
        </w:rPr>
        <w:t>Manual Effort Reduction (Target: ≥80%):</w:t>
      </w:r>
      <w:r>
        <w:rPr>
          <w:color w:val="2D3748"/>
        </w:rPr>
        <w:t xml:space="preserve"> Achieved through OCR-driven automated receipt extraction, automated duplicate claim detection, and direct ERP/banking integrations.</w:t>
      </w:r>
    </w:p>
    <w:p>
      <w:pPr>
        <w:pStyle w:val="ListBullet"/>
        <w:spacing w:after="60"/>
      </w:pPr>
      <w:r>
        <w:rPr>
          <w:b/>
          <w:color w:val="2D3748"/>
        </w:rPr>
        <w:t>Approval Cycle Acceleration (Target: ≥70% reduction):</w:t>
      </w:r>
      <w:r>
        <w:rPr>
          <w:color w:val="2D3748"/>
        </w:rPr>
        <w:t xml:space="preserve"> Realized via multi-tiered automated approval workflows with rigid SLA countdowns, automated escalation alerts, and mobile-responsive quick-actions.</w:t>
      </w:r>
    </w:p>
    <w:p>
      <w:pPr>
        <w:pStyle w:val="ListBullet"/>
        <w:spacing w:after="60"/>
      </w:pPr>
      <w:r>
        <w:rPr>
          <w:b/>
          <w:color w:val="2D3748"/>
        </w:rPr>
        <w:t>Rapid Reimbursement Fulfillment:</w:t>
      </w:r>
      <w:r>
        <w:rPr>
          <w:color w:val="2D3748"/>
        </w:rPr>
        <w:t xml:space="preserve"> Consistently processing payments within 3 working days via automated bank batch processing and automated ERP ledger updates.</w:t>
      </w:r>
    </w:p>
    <w:p>
      <w:pPr>
        <w:pStyle w:val="ListBullet"/>
        <w:spacing w:after="60"/>
      </w:pPr>
      <w:r>
        <w:rPr>
          <w:b/>
          <w:color w:val="2D3748"/>
        </w:rPr>
        <w:t>Absolute Audit Readiness &amp; Policy Enforcement (Target: 100% Compliance):</w:t>
      </w:r>
      <w:r>
        <w:rPr>
          <w:color w:val="2D3748"/>
        </w:rPr>
        <w:t xml:space="preserve"> Driven by an automated backend Policy Engine executing programmatic constraints on submissions, structural RBAC validations, and append-only cryptographic logging.</w:t>
      </w:r>
    </w:p>
    <w:p>
      <w:pPr>
        <w:pStyle w:val="ListBullet"/>
        <w:spacing w:after="60"/>
      </w:pPr>
      <w:r>
        <w:rPr>
          <w:b/>
          <w:color w:val="2D3748"/>
        </w:rPr>
        <w:t>System Resiliency &amp; Ultra-low Latency:</w:t>
      </w:r>
      <w:r>
        <w:rPr>
          <w:color w:val="2D3748"/>
        </w:rPr>
        <w:t xml:space="preserve"> Guaranteeing 99.95% system uptime, sub-500ms API responses (P95), and sub-3 second dashboard load times.</w:t>
      </w:r>
    </w:p>
    <w:p>
      <w:pPr>
        <w:keepNext/>
        <w:spacing w:before="360" w:after="120"/>
      </w:pPr>
      <w:r>
        <w:rPr>
          <w:rFonts w:ascii="Calibri" w:hAnsi="Calibri"/>
          <w:b/>
          <w:color w:val="1A365D"/>
          <w:sz w:val="36"/>
        </w:rPr>
        <w:t>2. System Architecture &amp; Technical Stack Specifications</w:t>
      </w:r>
    </w:p>
    <w:p>
      <w:r>
        <w:t>The system is architected as an enterprise-grade, decoupled distributed application designed to support a minimum of 15,000 registered users, 1,000 baseline concurrent users, and up to 3,000 peak concurrent users.</w:t>
      </w:r>
    </w:p>
    <w:p>
      <w:pPr>
        <w:keepNext/>
        <w:spacing w:before="280" w:after="80"/>
      </w:pPr>
      <w:r>
        <w:rPr>
          <w:rFonts w:ascii="Calibri" w:hAnsi="Calibri"/>
          <w:b/>
          <w:color w:val="2B6CB0"/>
          <w:sz w:val="28"/>
        </w:rPr>
        <w:t>2.1 Frontend Architecture Specifications (React.js v19)</w:t>
      </w:r>
    </w:p>
    <w:p>
      <w:pPr>
        <w:pStyle w:val="ListBullet"/>
        <w:spacing w:after="60"/>
      </w:pPr>
      <w:r>
        <w:rPr>
          <w:b/>
          <w:color w:val="2D3748"/>
        </w:rPr>
        <w:t>Component Pattern:</w:t>
      </w:r>
      <w:r>
        <w:rPr>
          <w:color w:val="2D3748"/>
        </w:rPr>
        <w:t xml:space="preserve"> 100% Functional Components with hooks (useState, useEffect, useMemo, useCallback, and native React 19 hooks).</w:t>
      </w:r>
    </w:p>
    <w:p>
      <w:pPr>
        <w:pStyle w:val="ListBullet"/>
        <w:spacing w:after="60"/>
      </w:pPr>
      <w:r>
        <w:rPr>
          <w:b/>
          <w:color w:val="2D3748"/>
        </w:rPr>
        <w:t>State Management:</w:t>
      </w:r>
      <w:r>
        <w:rPr>
          <w:color w:val="2D3748"/>
        </w:rPr>
        <w:t xml:space="preserve"> Redux Toolkit (RTK) for structural global states (user session authentication, core configuration definitions, global UI states); local component states for isolated UI variables.</w:t>
      </w:r>
    </w:p>
    <w:p>
      <w:pPr>
        <w:pStyle w:val="ListBullet"/>
        <w:spacing w:after="60"/>
      </w:pPr>
      <w:r>
        <w:rPr>
          <w:b/>
          <w:color w:val="2D3748"/>
        </w:rPr>
        <w:t>Data Fetching &amp; Server Caching:</w:t>
      </w:r>
      <w:r>
        <w:rPr>
          <w:color w:val="2D3748"/>
        </w:rPr>
        <w:t xml:space="preserve"> React Query (TanStack Query v5) for all asynchronous server queries and mutations, establishing explicit cache stale times (e.g., 5 minutes for dashboard metrics), automatic background refetching on window focus, and optimistic UI mutations for approval switches.</w:t>
      </w:r>
    </w:p>
    <w:p>
      <w:pPr>
        <w:pStyle w:val="ListBullet"/>
        <w:spacing w:after="60"/>
      </w:pPr>
      <w:r>
        <w:rPr>
          <w:b/>
          <w:color w:val="2D3748"/>
        </w:rPr>
        <w:t>HTTP Client:</w:t>
      </w:r>
      <w:r>
        <w:rPr>
          <w:color w:val="2D3748"/>
        </w:rPr>
        <w:t xml:space="preserve"> Axios instance with global request/response interceptors to inject JWT bearer tokens, log performance execution markers, and trap global HTTP statuses.</w:t>
      </w:r>
    </w:p>
    <w:p>
      <w:pPr>
        <w:pStyle w:val="ListBullet"/>
        <w:spacing w:after="60"/>
      </w:pPr>
      <w:r>
        <w:rPr>
          <w:b/>
          <w:color w:val="2D3748"/>
        </w:rPr>
        <w:t>Virtual Scroll Optimization:</w:t>
      </w:r>
      <w:r>
        <w:rPr>
          <w:color w:val="2D3748"/>
        </w:rPr>
        <w:t xml:space="preserve"> Utilizing components like react-window across heavy data tables (Ledger views, Audit logs, Pending queues) to restrict the DOM footprint to visible rows.</w:t>
      </w:r>
    </w:p>
    <w:p>
      <w:pPr>
        <w:pStyle w:val="ListBullet"/>
        <w:spacing w:after="60"/>
      </w:pPr>
      <w:r>
        <w:rPr>
          <w:b/>
          <w:color w:val="2D3748"/>
        </w:rPr>
        <w:t>Lazy Loading Patterns:</w:t>
      </w:r>
      <w:r>
        <w:rPr>
          <w:color w:val="2D3748"/>
        </w:rPr>
        <w:t xml:space="preserve"> Route-level code splitting using React.lazy() and Suspense placeholders to optimize initial bundle sizes and hit the sub-3 second dashboard load target.</w:t>
      </w:r>
    </w:p>
    <w:p>
      <w:pPr>
        <w:pStyle w:val="ListBullet"/>
        <w:spacing w:after="60"/>
      </w:pPr>
      <w:r>
        <w:rPr>
          <w:b/>
          <w:color w:val="2D3748"/>
        </w:rPr>
        <w:t>Robust Error Boundary Framework:</w:t>
      </w:r>
      <w:r>
        <w:rPr>
          <w:color w:val="2D3748"/>
        </w:rPr>
        <w:t xml:space="preserve"> Hierarchical React Error Boundaries wrapping distinct interface zones preventing single-component crashes from breaking the entire application.</w:t>
      </w:r>
    </w:p>
    <w:p>
      <w:pPr>
        <w:keepNext/>
        <w:spacing w:before="280" w:after="80"/>
      </w:pPr>
      <w:r>
        <w:rPr>
          <w:rFonts w:ascii="Calibri" w:hAnsi="Calibri"/>
          <w:b/>
          <w:color w:val="2B6CB0"/>
          <w:sz w:val="28"/>
        </w:rPr>
        <w:t>2.2 Backend Architecture Specifications (Node.js &amp; Express.js Microservices)</w:t>
      </w:r>
    </w:p>
    <w:p>
      <w:pPr>
        <w:pStyle w:val="ListBullet"/>
        <w:spacing w:after="60"/>
      </w:pPr>
      <w:r>
        <w:rPr>
          <w:b/>
          <w:color w:val="2D3748"/>
        </w:rPr>
        <w:t>Architecture Pattern:</w:t>
      </w:r>
      <w:r>
        <w:rPr>
          <w:color w:val="2D3748"/>
        </w:rPr>
        <w:t xml:space="preserve"> Decentralized microservices pattern running on Node.js and Express.js, split into distinct services: Identity &amp; Access Service, Travel Request Service, Approval Workflow Service, Expense &amp; Receipt Service, and Reimbursement &amp; Analytics Service.</w:t>
      </w:r>
    </w:p>
    <w:p>
      <w:pPr>
        <w:pStyle w:val="ListBullet"/>
        <w:spacing w:after="60"/>
      </w:pPr>
      <w:r>
        <w:rPr>
          <w:b/>
          <w:color w:val="2D3748"/>
        </w:rPr>
        <w:t>Authentication &amp; Session Integrity:</w:t>
      </w:r>
      <w:r>
        <w:rPr>
          <w:color w:val="2D3748"/>
        </w:rPr>
        <w:t xml:space="preserve"> JSON Web Tokens (JWT) using asymmetric cryptography (RS256 keys). Access tokens configured with a 15-minute expiration window; refresh tokens securely containerized in HttpOnly, Secure, SameSite=Strict cookies.</w:t>
      </w:r>
    </w:p>
    <w:p>
      <w:pPr>
        <w:pStyle w:val="ListBullet"/>
        <w:spacing w:after="60"/>
      </w:pPr>
      <w:r>
        <w:rPr>
          <w:b/>
          <w:color w:val="2D3748"/>
        </w:rPr>
        <w:t>Security &amp; SQL Injection Mitigation:</w:t>
      </w:r>
      <w:r>
        <w:rPr>
          <w:color w:val="2D3748"/>
        </w:rPr>
        <w:t xml:space="preserve"> Zero raw SQL queries permitted. All structural modifications and data retrievals executed strictly via Sequelize ORM using fully parameterized queries. Strict validation layer via middleware filtering input shapes.</w:t>
      </w:r>
    </w:p>
    <w:p>
      <w:pPr>
        <w:pStyle w:val="ListBullet"/>
        <w:spacing w:after="60"/>
      </w:pPr>
      <w:r>
        <w:rPr>
          <w:b/>
          <w:color w:val="2D3748"/>
        </w:rPr>
        <w:t>Authentication &amp; RBAC Middleware:</w:t>
      </w:r>
      <w:r>
        <w:rPr>
          <w:color w:val="2D3748"/>
        </w:rPr>
        <w:t xml:space="preserve"> Evaluates JWT signatures, extracts the user's role claims, and programmatically matches them against required operation permissions.</w:t>
      </w:r>
    </w:p>
    <w:p>
      <w:pPr>
        <w:pStyle w:val="ListBullet"/>
        <w:spacing w:after="60"/>
      </w:pPr>
      <w:r>
        <w:rPr>
          <w:b/>
          <w:color w:val="2D3748"/>
        </w:rPr>
        <w:t>Rate Limiting Middleware:</w:t>
      </w:r>
      <w:r>
        <w:rPr>
          <w:color w:val="2D3748"/>
        </w:rPr>
        <w:t xml:space="preserve"> Limits incoming requests per API endpoint per IP to safeguard against Denial of Service (DoS) and brute-force vectors.</w:t>
      </w:r>
    </w:p>
    <w:p>
      <w:pPr>
        <w:pStyle w:val="ListBullet"/>
        <w:spacing w:after="60"/>
      </w:pPr>
      <w:r>
        <w:rPr>
          <w:b/>
          <w:color w:val="2D3748"/>
        </w:rPr>
        <w:t>Global Auditing Middleware:</w:t>
      </w:r>
      <w:r>
        <w:rPr>
          <w:color w:val="2D3748"/>
        </w:rPr>
        <w:t xml:space="preserve"> Intercepting all write/mutate commands to log before/after states, timestamps, identities, and client headers to the append-only log engine.</w:t>
      </w:r>
    </w:p>
    <w:p>
      <w:pPr>
        <w:keepNext/>
        <w:spacing w:before="280" w:after="80"/>
      </w:pPr>
      <w:r>
        <w:rPr>
          <w:rFonts w:ascii="Calibri" w:hAnsi="Calibri"/>
          <w:b/>
          <w:color w:val="2B6CB0"/>
          <w:sz w:val="28"/>
        </w:rPr>
        <w:t>2.3 Database Architecture Specifications (MySQL Enterprise)</w:t>
      </w:r>
    </w:p>
    <w:p>
      <w:pPr>
        <w:pStyle w:val="ListBullet"/>
        <w:spacing w:after="60"/>
      </w:pPr>
      <w:r>
        <w:rPr>
          <w:b/>
          <w:color w:val="2D3748"/>
        </w:rPr>
        <w:t>Data Modeling Quality:</w:t>
      </w:r>
      <w:r>
        <w:rPr>
          <w:color w:val="2D3748"/>
        </w:rPr>
        <w:t xml:space="preserve"> Strict relational layout enforcing InnoDB engine, standardized third normal form (3NF), foreign key referential integrity constraints, and hard constraints on structural datatypes.</w:t>
      </w:r>
    </w:p>
    <w:p>
      <w:pPr>
        <w:pStyle w:val="ListBullet"/>
        <w:spacing w:after="60"/>
      </w:pPr>
      <w:r>
        <w:rPr>
          <w:b/>
          <w:color w:val="2D3748"/>
        </w:rPr>
        <w:t>Database Schema Migration Architecture:</w:t>
      </w:r>
      <w:r>
        <w:rPr>
          <w:color w:val="2D3748"/>
        </w:rPr>
        <w:t xml:space="preserve"> Absolute separation of code and database states. Every schema update must be declared inside sequential Sequelize Migration files. Initial constants and default compliance policies must be written within Sequelize Seeder files.</w:t>
      </w:r>
    </w:p>
    <w:p>
      <w:pPr>
        <w:pStyle w:val="ListBullet"/>
        <w:spacing w:after="60"/>
      </w:pPr>
      <w:r>
        <w:rPr>
          <w:b/>
          <w:color w:val="2D3748"/>
        </w:rPr>
        <w:t>Performance Optimization &amp; Indexing:</w:t>
      </w:r>
      <w:r>
        <w:rPr>
          <w:color w:val="2D3748"/>
        </w:rPr>
        <w:t xml:space="preserve"> Automatic B-Tree indexing on all primary keys and foreign keys. Mandated composite indexing on frequent multi-conditional fields (e.g., expense_claims status and submission dates).</w:t>
      </w:r>
    </w:p>
    <w:p>
      <w:pPr>
        <w:pStyle w:val="ListBullet"/>
        <w:spacing w:after="60"/>
      </w:pPr>
      <w:r>
        <w:rPr>
          <w:b/>
          <w:color w:val="2D3748"/>
        </w:rPr>
        <w:t>Query Execution Safety:</w:t>
      </w:r>
      <w:r>
        <w:rPr>
          <w:color w:val="2D3748"/>
        </w:rPr>
        <w:t xml:space="preserve"> Enforcement of query budget timeouts (maximum 200ms at P99) monitored via database insight logs.</w:t>
      </w:r>
    </w:p>
    <w:p>
      <w:r>
        <w:br w:type="page"/>
      </w:r>
    </w:p>
    <w:p>
      <w:pPr>
        <w:keepNext/>
        <w:spacing w:before="360" w:after="120"/>
      </w:pPr>
      <w:r>
        <w:rPr>
          <w:rFonts w:ascii="Calibri" w:hAnsi="Calibri"/>
          <w:b/>
          <w:color w:val="1A365D"/>
          <w:sz w:val="36"/>
        </w:rPr>
        <w:t>3. Stakeholder Ecosystem &amp; Matrix Mapping</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r>
              <w:rPr>
                <w:b/>
                <w:color w:val="FFFFFF"/>
                <w:sz w:val="20"/>
              </w:rPr>
              <w:t>Stakeholder Role</w:t>
            </w:r>
          </w:p>
        </w:tc>
        <w:tc>
          <w:tcPr>
            <w:tcW w:type="dxa" w:w="2340"/>
            <w:shd w:fill="1A365D"/>
            <w:tcMar>
              <w:top w:w="120" w:type="dxa"/>
              <w:bottom w:w="120" w:type="dxa"/>
              <w:left w:w="150" w:type="dxa"/>
              <w:right w:w="150" w:type="dxa"/>
            </w:tcMar>
          </w:tcPr>
          <w:p>
            <w:r>
              <w:rPr>
                <w:b/>
                <w:color w:val="FFFFFF"/>
                <w:sz w:val="20"/>
              </w:rPr>
              <w:t>Primary Functional Focus</w:t>
            </w:r>
          </w:p>
        </w:tc>
        <w:tc>
          <w:tcPr>
            <w:tcW w:type="dxa" w:w="2340"/>
            <w:shd w:fill="1A365D"/>
            <w:tcMar>
              <w:top w:w="120" w:type="dxa"/>
              <w:bottom w:w="120" w:type="dxa"/>
              <w:left w:w="150" w:type="dxa"/>
              <w:right w:w="150" w:type="dxa"/>
            </w:tcMar>
          </w:tcPr>
          <w:p>
            <w:r>
              <w:rPr>
                <w:b/>
                <w:color w:val="FFFFFF"/>
                <w:sz w:val="20"/>
              </w:rPr>
              <w:t>Product Interface Points</w:t>
            </w:r>
          </w:p>
        </w:tc>
        <w:tc>
          <w:tcPr>
            <w:tcW w:type="dxa" w:w="2340"/>
            <w:shd w:fill="1A365D"/>
            <w:tcMar>
              <w:top w:w="120" w:type="dxa"/>
              <w:bottom w:w="120" w:type="dxa"/>
              <w:left w:w="150" w:type="dxa"/>
              <w:right w:w="150" w:type="dxa"/>
            </w:tcMar>
          </w:tcPr>
          <w:p>
            <w:r>
              <w:rPr>
                <w:b/>
                <w:color w:val="FFFFFF"/>
                <w:sz w:val="20"/>
              </w:rPr>
              <w:t>Target Metric Accountability</w:t>
            </w:r>
          </w:p>
        </w:tc>
      </w:tr>
      <w:tr>
        <w:tc>
          <w:tcPr>
            <w:tcW w:type="dxa" w:w="2340"/>
            <w:tcMar>
              <w:top w:w="100" w:type="dxa"/>
              <w:bottom w:w="100" w:type="dxa"/>
              <w:left w:w="120" w:type="dxa"/>
              <w:right w:w="120" w:type="dxa"/>
            </w:tcMar>
          </w:tcPr>
          <w:p>
            <w:r>
              <w:rPr>
                <w:color w:val="2D3748"/>
                <w:sz w:val="19"/>
              </w:rPr>
              <w:t>Employee (Submitter)</w:t>
            </w:r>
          </w:p>
        </w:tc>
        <w:tc>
          <w:tcPr>
            <w:tcW w:type="dxa" w:w="2340"/>
            <w:tcMar>
              <w:top w:w="100" w:type="dxa"/>
              <w:bottom w:w="100" w:type="dxa"/>
              <w:left w:w="120" w:type="dxa"/>
              <w:right w:w="120" w:type="dxa"/>
            </w:tcMar>
          </w:tcPr>
          <w:p>
            <w:r>
              <w:rPr>
                <w:color w:val="2D3748"/>
                <w:sz w:val="19"/>
              </w:rPr>
              <w:t>Requesting travel authorizations, capturing receipt images, and tracking reimbursement payouts.</w:t>
            </w:r>
          </w:p>
        </w:tc>
        <w:tc>
          <w:tcPr>
            <w:tcW w:type="dxa" w:w="2340"/>
            <w:tcMar>
              <w:top w:w="100" w:type="dxa"/>
              <w:bottom w:w="100" w:type="dxa"/>
              <w:left w:w="120" w:type="dxa"/>
              <w:right w:w="120" w:type="dxa"/>
            </w:tcMar>
          </w:tcPr>
          <w:p>
            <w:r>
              <w:rPr>
                <w:color w:val="2D3748"/>
                <w:sz w:val="19"/>
              </w:rPr>
              <w:t>Mobile-First Submission Web UI, Receipt OCR Ingestion Zone, Reimbursement Tracker.</w:t>
            </w:r>
          </w:p>
        </w:tc>
        <w:tc>
          <w:tcPr>
            <w:tcW w:type="dxa" w:w="2340"/>
            <w:tcMar>
              <w:top w:w="100" w:type="dxa"/>
              <w:bottom w:w="100" w:type="dxa"/>
              <w:left w:w="120" w:type="dxa"/>
              <w:right w:w="120" w:type="dxa"/>
            </w:tcMar>
          </w:tcPr>
          <w:p>
            <w:r>
              <w:rPr>
                <w:color w:val="2D3748"/>
                <w:sz w:val="19"/>
              </w:rPr>
              <w:t>Submission within 7 days of trip; High User CSAT score (≥4.0/5.0).</w:t>
            </w:r>
          </w:p>
        </w:tc>
      </w:tr>
      <w:tr>
        <w:tc>
          <w:tcPr>
            <w:tcW w:type="dxa" w:w="2340"/>
            <w:tcMar>
              <w:top w:w="100" w:type="dxa"/>
              <w:bottom w:w="100" w:type="dxa"/>
              <w:left w:w="120" w:type="dxa"/>
              <w:right w:w="120" w:type="dxa"/>
            </w:tcMar>
            <w:shd w:fill="F7FAFC"/>
          </w:tcPr>
          <w:p>
            <w:r>
              <w:rPr>
                <w:color w:val="2D3748"/>
                <w:sz w:val="19"/>
              </w:rPr>
              <w:t>Department Manager</w:t>
            </w:r>
          </w:p>
        </w:tc>
        <w:tc>
          <w:tcPr>
            <w:tcW w:type="dxa" w:w="2340"/>
            <w:tcMar>
              <w:top w:w="100" w:type="dxa"/>
              <w:bottom w:w="100" w:type="dxa"/>
              <w:left w:w="120" w:type="dxa"/>
              <w:right w:w="120" w:type="dxa"/>
            </w:tcMar>
            <w:shd w:fill="F7FAFC"/>
          </w:tcPr>
          <w:p>
            <w:r>
              <w:rPr>
                <w:color w:val="2D3748"/>
                <w:sz w:val="19"/>
              </w:rPr>
              <w:t>Reviewing departmental travel logic, verifying budgets, and processing stage-one approvals.</w:t>
            </w:r>
          </w:p>
        </w:tc>
        <w:tc>
          <w:tcPr>
            <w:tcW w:type="dxa" w:w="2340"/>
            <w:tcMar>
              <w:top w:w="100" w:type="dxa"/>
              <w:bottom w:w="100" w:type="dxa"/>
              <w:left w:w="120" w:type="dxa"/>
              <w:right w:w="120" w:type="dxa"/>
            </w:tcMar>
            <w:shd w:fill="F7FAFC"/>
          </w:tcPr>
          <w:p>
            <w:r>
              <w:rPr>
                <w:color w:val="2D3748"/>
                <w:sz w:val="19"/>
              </w:rPr>
              <w:t>Pending Approvals Queue Dashboard, One-Click Multi-Select Action Panel.</w:t>
            </w:r>
          </w:p>
        </w:tc>
        <w:tc>
          <w:tcPr>
            <w:tcW w:type="dxa" w:w="2340"/>
            <w:tcMar>
              <w:top w:w="100" w:type="dxa"/>
              <w:bottom w:w="100" w:type="dxa"/>
              <w:left w:w="120" w:type="dxa"/>
              <w:right w:w="120" w:type="dxa"/>
            </w:tcMar>
            <w:shd w:fill="F7FAFC"/>
          </w:tcPr>
          <w:p>
            <w:r>
              <w:rPr>
                <w:color w:val="2D3748"/>
                <w:sz w:val="19"/>
              </w:rPr>
              <w:t>SLA Compliance ≥90%; Zero tasks delayed past 24 hours.</w:t>
            </w:r>
          </w:p>
        </w:tc>
      </w:tr>
      <w:tr>
        <w:tc>
          <w:tcPr>
            <w:tcW w:type="dxa" w:w="2340"/>
            <w:tcMar>
              <w:top w:w="100" w:type="dxa"/>
              <w:bottom w:w="100" w:type="dxa"/>
              <w:left w:w="120" w:type="dxa"/>
              <w:right w:w="120" w:type="dxa"/>
            </w:tcMar>
          </w:tcPr>
          <w:p>
            <w:r>
              <w:rPr>
                <w:color w:val="2D3748"/>
                <w:sz w:val="19"/>
              </w:rPr>
              <w:t>Finance Team Reviewer</w:t>
            </w:r>
          </w:p>
        </w:tc>
        <w:tc>
          <w:tcPr>
            <w:tcW w:type="dxa" w:w="2340"/>
            <w:tcMar>
              <w:top w:w="100" w:type="dxa"/>
              <w:bottom w:w="100" w:type="dxa"/>
              <w:left w:w="120" w:type="dxa"/>
              <w:right w:w="120" w:type="dxa"/>
            </w:tcMar>
          </w:tcPr>
          <w:p>
            <w:r>
              <w:rPr>
                <w:color w:val="2D3748"/>
                <w:sz w:val="19"/>
              </w:rPr>
              <w:t>Auditing physical integrity of claims, matching receipt text to line items, and checking general ledgers.</w:t>
            </w:r>
          </w:p>
        </w:tc>
        <w:tc>
          <w:tcPr>
            <w:tcW w:type="dxa" w:w="2340"/>
            <w:tcMar>
              <w:top w:w="100" w:type="dxa"/>
              <w:bottom w:w="100" w:type="dxa"/>
              <w:left w:w="120" w:type="dxa"/>
              <w:right w:w="120" w:type="dxa"/>
            </w:tcMar>
          </w:tcPr>
          <w:p>
            <w:r>
              <w:rPr>
                <w:color w:val="2D3748"/>
                <w:sz w:val="19"/>
              </w:rPr>
              <w:t>Expense Verification Grid, Line-Item Correction Workspace, Receipt Comparison Screen.</w:t>
            </w:r>
          </w:p>
        </w:tc>
        <w:tc>
          <w:tcPr>
            <w:tcW w:type="dxa" w:w="2340"/>
            <w:tcMar>
              <w:top w:w="100" w:type="dxa"/>
              <w:bottom w:w="100" w:type="dxa"/>
              <w:left w:w="120" w:type="dxa"/>
              <w:right w:w="120" w:type="dxa"/>
            </w:tcMar>
          </w:tcPr>
          <w:p>
            <w:r>
              <w:rPr>
                <w:color w:val="2D3748"/>
                <w:sz w:val="19"/>
              </w:rPr>
              <w:t>Average Claim Processing Time ≤2 business days; Accuracy improvement.</w:t>
            </w:r>
          </w:p>
        </w:tc>
      </w:tr>
      <w:tr>
        <w:tc>
          <w:tcPr>
            <w:tcW w:type="dxa" w:w="2340"/>
            <w:tcMar>
              <w:top w:w="100" w:type="dxa"/>
              <w:bottom w:w="100" w:type="dxa"/>
              <w:left w:w="120" w:type="dxa"/>
              <w:right w:w="120" w:type="dxa"/>
            </w:tcMar>
            <w:shd w:fill="F7FAFC"/>
          </w:tcPr>
          <w:p>
            <w:r>
              <w:rPr>
                <w:color w:val="2D3748"/>
                <w:sz w:val="19"/>
              </w:rPr>
              <w:t>Finance Head / CFO</w:t>
            </w:r>
          </w:p>
        </w:tc>
        <w:tc>
          <w:tcPr>
            <w:tcW w:type="dxa" w:w="2340"/>
            <w:tcMar>
              <w:top w:w="100" w:type="dxa"/>
              <w:bottom w:w="100" w:type="dxa"/>
              <w:left w:w="120" w:type="dxa"/>
              <w:right w:w="120" w:type="dxa"/>
            </w:tcMar>
            <w:shd w:fill="F7FAFC"/>
          </w:tcPr>
          <w:p>
            <w:r>
              <w:rPr>
                <w:color w:val="2D3748"/>
                <w:sz w:val="19"/>
              </w:rPr>
              <w:t>Capital oversight, high-value spend authorizations, and macro budgetary allocations.</w:t>
            </w:r>
          </w:p>
        </w:tc>
        <w:tc>
          <w:tcPr>
            <w:tcW w:type="dxa" w:w="2340"/>
            <w:tcMar>
              <w:top w:w="100" w:type="dxa"/>
              <w:bottom w:w="100" w:type="dxa"/>
              <w:left w:w="120" w:type="dxa"/>
              <w:right w:w="120" w:type="dxa"/>
            </w:tcMar>
            <w:shd w:fill="F7FAFC"/>
          </w:tcPr>
          <w:p>
            <w:r>
              <w:rPr>
                <w:color w:val="2D3748"/>
                <w:sz w:val="19"/>
              </w:rPr>
              <w:t>Financial Analytics Dashboard, Budget Variance Indicators, Batch Reimbursement Approvals.</w:t>
            </w:r>
          </w:p>
        </w:tc>
        <w:tc>
          <w:tcPr>
            <w:tcW w:type="dxa" w:w="2340"/>
            <w:tcMar>
              <w:top w:w="100" w:type="dxa"/>
              <w:bottom w:w="100" w:type="dxa"/>
              <w:left w:w="120" w:type="dxa"/>
              <w:right w:w="120" w:type="dxa"/>
            </w:tcMar>
            <w:shd w:fill="F7FAFC"/>
          </w:tcPr>
          <w:p>
            <w:r>
              <w:rPr>
                <w:color w:val="2D3748"/>
                <w:sz w:val="19"/>
              </w:rPr>
              <w:t>Total Processing Cost ≤30% of legacy baseline; Zero weekly backlog.</w:t>
            </w:r>
          </w:p>
        </w:tc>
      </w:tr>
      <w:tr>
        <w:tc>
          <w:tcPr>
            <w:tcW w:type="dxa" w:w="2340"/>
            <w:tcMar>
              <w:top w:w="100" w:type="dxa"/>
              <w:bottom w:w="100" w:type="dxa"/>
              <w:left w:w="120" w:type="dxa"/>
              <w:right w:w="120" w:type="dxa"/>
            </w:tcMar>
          </w:tcPr>
          <w:p>
            <w:r>
              <w:rPr>
                <w:color w:val="2D3748"/>
                <w:sz w:val="19"/>
              </w:rPr>
              <w:t>Operations Manager</w:t>
            </w:r>
          </w:p>
        </w:tc>
        <w:tc>
          <w:tcPr>
            <w:tcW w:type="dxa" w:w="2340"/>
            <w:tcMar>
              <w:top w:w="100" w:type="dxa"/>
              <w:bottom w:w="100" w:type="dxa"/>
              <w:left w:w="120" w:type="dxa"/>
              <w:right w:w="120" w:type="dxa"/>
            </w:tcMar>
          </w:tcPr>
          <w:p>
            <w:r>
              <w:rPr>
                <w:color w:val="2D3748"/>
                <w:sz w:val="19"/>
              </w:rPr>
              <w:t>Travel pipeline performance tracking, SLA health audits, and escalation remediation.</w:t>
            </w:r>
          </w:p>
        </w:tc>
        <w:tc>
          <w:tcPr>
            <w:tcW w:type="dxa" w:w="2340"/>
            <w:tcMar>
              <w:top w:w="100" w:type="dxa"/>
              <w:bottom w:w="100" w:type="dxa"/>
              <w:left w:w="120" w:type="dxa"/>
              <w:right w:w="120" w:type="dxa"/>
            </w:tcMar>
          </w:tcPr>
          <w:p>
            <w:r>
              <w:rPr>
                <w:color w:val="2D3748"/>
                <w:sz w:val="19"/>
              </w:rPr>
              <w:t>Operation Command Center Dashboard, Escalation Queue, SLA Pipeline View.</w:t>
            </w:r>
          </w:p>
        </w:tc>
        <w:tc>
          <w:tcPr>
            <w:tcW w:type="dxa" w:w="2340"/>
            <w:tcMar>
              <w:top w:w="100" w:type="dxa"/>
              <w:bottom w:w="100" w:type="dxa"/>
              <w:left w:w="120" w:type="dxa"/>
              <w:right w:w="120" w:type="dxa"/>
            </w:tcMar>
          </w:tcPr>
          <w:p>
            <w:r>
              <w:rPr>
                <w:color w:val="2D3748"/>
                <w:sz w:val="19"/>
              </w:rPr>
              <w:t>Travel request processing time ≤24 hours; Process cycle time ≤10 days.</w:t>
            </w:r>
          </w:p>
        </w:tc>
      </w:tr>
      <w:tr>
        <w:tc>
          <w:tcPr>
            <w:tcW w:type="dxa" w:w="2340"/>
            <w:tcMar>
              <w:top w:w="100" w:type="dxa"/>
              <w:bottom w:w="100" w:type="dxa"/>
              <w:left w:w="120" w:type="dxa"/>
              <w:right w:w="120" w:type="dxa"/>
            </w:tcMar>
            <w:shd w:fill="F7FAFC"/>
          </w:tcPr>
          <w:p>
            <w:r>
              <w:rPr>
                <w:color w:val="2D3748"/>
                <w:sz w:val="19"/>
              </w:rPr>
              <w:t>Compliance Officer</w:t>
            </w:r>
          </w:p>
        </w:tc>
        <w:tc>
          <w:tcPr>
            <w:tcW w:type="dxa" w:w="2340"/>
            <w:tcMar>
              <w:top w:w="100" w:type="dxa"/>
              <w:bottom w:w="100" w:type="dxa"/>
              <w:left w:w="120" w:type="dxa"/>
              <w:right w:w="120" w:type="dxa"/>
            </w:tcMar>
            <w:shd w:fill="F7FAFC"/>
          </w:tcPr>
          <w:p>
            <w:r>
              <w:rPr>
                <w:color w:val="2D3748"/>
                <w:sz w:val="19"/>
              </w:rPr>
              <w:t>Audit trail verification, corporate fraud detection, and regulatory tax alignment.</w:t>
            </w:r>
          </w:p>
        </w:tc>
        <w:tc>
          <w:tcPr>
            <w:tcW w:type="dxa" w:w="2340"/>
            <w:tcMar>
              <w:top w:w="100" w:type="dxa"/>
              <w:bottom w:w="100" w:type="dxa"/>
              <w:left w:w="120" w:type="dxa"/>
              <w:right w:w="120" w:type="dxa"/>
            </w:tcMar>
            <w:shd w:fill="F7FAFC"/>
          </w:tcPr>
          <w:p>
            <w:r>
              <w:rPr>
                <w:color w:val="2D3748"/>
                <w:sz w:val="19"/>
              </w:rPr>
              <w:t>Audit Log Query Interface, Policy Engine Configuration Panel, Fraud Detection Alerts.</w:t>
            </w:r>
          </w:p>
        </w:tc>
        <w:tc>
          <w:tcPr>
            <w:tcW w:type="dxa" w:w="2340"/>
            <w:tcMar>
              <w:top w:w="100" w:type="dxa"/>
              <w:bottom w:w="100" w:type="dxa"/>
              <w:left w:w="120" w:type="dxa"/>
              <w:right w:w="120" w:type="dxa"/>
            </w:tcMar>
            <w:shd w:fill="F7FAFC"/>
          </w:tcPr>
          <w:p>
            <w:r>
              <w:rPr>
                <w:color w:val="2D3748"/>
                <w:sz w:val="19"/>
              </w:rPr>
              <w:t>100% Audit Readiness Score; Policy Compliance ≥97%.</w:t>
            </w:r>
          </w:p>
        </w:tc>
      </w:tr>
      <w:tr>
        <w:tc>
          <w:tcPr>
            <w:tcW w:type="dxa" w:w="2340"/>
            <w:tcMar>
              <w:top w:w="100" w:type="dxa"/>
              <w:bottom w:w="100" w:type="dxa"/>
              <w:left w:w="120" w:type="dxa"/>
              <w:right w:w="120" w:type="dxa"/>
            </w:tcMar>
          </w:tcPr>
          <w:p>
            <w:r>
              <w:rPr>
                <w:color w:val="2D3748"/>
                <w:sz w:val="19"/>
              </w:rPr>
              <w:t>DevOps &amp; System Admin</w:t>
            </w:r>
          </w:p>
        </w:tc>
        <w:tc>
          <w:tcPr>
            <w:tcW w:type="dxa" w:w="2340"/>
            <w:tcMar>
              <w:top w:w="100" w:type="dxa"/>
              <w:bottom w:w="100" w:type="dxa"/>
              <w:left w:w="120" w:type="dxa"/>
              <w:right w:w="120" w:type="dxa"/>
            </w:tcMar>
          </w:tcPr>
          <w:p>
            <w:r>
              <w:rPr>
                <w:color w:val="2D3748"/>
                <w:sz w:val="19"/>
              </w:rPr>
              <w:t>Platform uptime optimization, security perimeter defense, and infrastructure auto-scaling.</w:t>
            </w:r>
          </w:p>
        </w:tc>
        <w:tc>
          <w:tcPr>
            <w:tcW w:type="dxa" w:w="2340"/>
            <w:tcMar>
              <w:top w:w="100" w:type="dxa"/>
              <w:bottom w:w="100" w:type="dxa"/>
              <w:left w:w="120" w:type="dxa"/>
              <w:right w:w="120" w:type="dxa"/>
            </w:tcMar>
          </w:tcPr>
          <w:p>
            <w:r>
              <w:rPr>
                <w:color w:val="2D3748"/>
                <w:sz w:val="19"/>
              </w:rPr>
              <w:t>Administrative Security Control Panel, System Metrics Dashboards, RBAC Audit Matrix.</w:t>
            </w:r>
          </w:p>
        </w:tc>
        <w:tc>
          <w:tcPr>
            <w:tcW w:type="dxa" w:w="2340"/>
            <w:tcMar>
              <w:top w:w="100" w:type="dxa"/>
              <w:bottom w:w="100" w:type="dxa"/>
              <w:left w:w="120" w:type="dxa"/>
              <w:right w:w="120" w:type="dxa"/>
            </w:tcMar>
          </w:tcPr>
          <w:p>
            <w:r>
              <w:rPr>
                <w:color w:val="2D3748"/>
                <w:sz w:val="19"/>
              </w:rPr>
              <w:t>System Uptime ≥99.95%; API Response ≤500ms; Dashboard load ≤3s.</w:t>
            </w:r>
          </w:p>
        </w:tc>
      </w:tr>
    </w:tbl>
    <w:p>
      <w:pPr>
        <w:spacing w:after="240"/>
      </w:pPr>
    </w:p>
    <w:p>
      <w:pPr>
        <w:keepNext/>
        <w:spacing w:before="360" w:after="120"/>
      </w:pPr>
      <w:r>
        <w:rPr>
          <w:rFonts w:ascii="Calibri" w:hAnsi="Calibri"/>
          <w:b/>
          <w:color w:val="1A365D"/>
          <w:sz w:val="36"/>
        </w:rPr>
        <w:t>4. End-to-End Core Workflows</w:t>
      </w:r>
    </w:p>
    <w:p>
      <w:pPr>
        <w:keepNext/>
        <w:spacing w:before="280" w:after="80"/>
      </w:pPr>
      <w:r>
        <w:rPr>
          <w:rFonts w:ascii="Calibri" w:hAnsi="Calibri"/>
          <w:b/>
          <w:color w:val="2B6CB0"/>
          <w:sz w:val="28"/>
        </w:rPr>
        <w:t>4.1 End-to-End Travel &amp; Expense Lifecycle Workflow</w:t>
      </w:r>
    </w:p>
    <w:p>
      <w:r>
        <w:t>The system coordinates actions across decoupled interfaces and microservices according to the following strict timeline sequence:</w:t>
      </w:r>
    </w:p>
    <w:p>
      <w:pPr>
        <w:pStyle w:val="ListBullet"/>
        <w:spacing w:after="60"/>
      </w:pPr>
      <w:r>
        <w:rPr>
          <w:b/>
          <w:color w:val="2D3748"/>
        </w:rPr>
        <w:t>1. Submission:</w:t>
      </w:r>
      <w:r>
        <w:rPr>
          <w:color w:val="2D3748"/>
        </w:rPr>
        <w:t xml:space="preserve"> Employee initiates a Travel Request via the functional React UI. The system matches input criteria against the backend Policy Engine middleware to check boundaries before record generation.</w:t>
      </w:r>
    </w:p>
    <w:p>
      <w:pPr>
        <w:pStyle w:val="ListBullet"/>
        <w:spacing w:after="60"/>
      </w:pPr>
      <w:r>
        <w:rPr>
          <w:b/>
          <w:color w:val="2D3748"/>
        </w:rPr>
        <w:t>2. SLA-Driven Approval:</w:t>
      </w:r>
      <w:r>
        <w:rPr>
          <w:color w:val="2D3748"/>
        </w:rPr>
        <w:t xml:space="preserve"> The request enters the Department Manager's queue. A 4-hour stage SLA timer activates. If unacted upon, automated notification/escalation middleware re-routes the task.</w:t>
      </w:r>
    </w:p>
    <w:p>
      <w:pPr>
        <w:pStyle w:val="ListBullet"/>
        <w:spacing w:after="60"/>
      </w:pPr>
      <w:r>
        <w:rPr>
          <w:b/>
          <w:color w:val="2D3748"/>
        </w:rPr>
        <w:t>3. Booking and Execution:</w:t>
      </w:r>
      <w:r>
        <w:rPr>
          <w:color w:val="2D3748"/>
        </w:rPr>
        <w:t xml:space="preserve"> Upon final approval, the status transitions to 'Approved for Travel'. The employee executes the trip and uploads digital receipt captures.</w:t>
      </w:r>
    </w:p>
    <w:p>
      <w:pPr>
        <w:pStyle w:val="ListBullet"/>
        <w:spacing w:after="60"/>
      </w:pPr>
      <w:r>
        <w:rPr>
          <w:b/>
          <w:color w:val="2D3748"/>
        </w:rPr>
        <w:t>4. Expense Ingestion:</w:t>
      </w:r>
      <w:r>
        <w:rPr>
          <w:color w:val="2D3748"/>
        </w:rPr>
        <w:t xml:space="preserve"> Receipts undergo automated OCR processing. The system executes a match checking date, vendor, and amounts against user inputs, running concurrent background loops for duplicate data detection.</w:t>
      </w:r>
    </w:p>
    <w:p>
      <w:pPr>
        <w:pStyle w:val="ListBullet"/>
        <w:spacing w:after="60"/>
      </w:pPr>
      <w:r>
        <w:rPr>
          <w:b/>
          <w:color w:val="2D3748"/>
        </w:rPr>
        <w:t>5. Financial Audit:</w:t>
      </w:r>
      <w:r>
        <w:rPr>
          <w:color w:val="2D3748"/>
        </w:rPr>
        <w:t xml:space="preserve"> The Finance Team validates the complete digital claim package using a virtualized line-item grid view to ensure absolute corporate policy conformance.</w:t>
      </w:r>
    </w:p>
    <w:p>
      <w:pPr>
        <w:pStyle w:val="ListBullet"/>
        <w:spacing w:after="60"/>
      </w:pPr>
      <w:r>
        <w:rPr>
          <w:b/>
          <w:color w:val="2D3748"/>
        </w:rPr>
        <w:t>6. Reimbursement Fulfillment:</w:t>
      </w:r>
      <w:r>
        <w:rPr>
          <w:color w:val="2D3748"/>
        </w:rPr>
        <w:t xml:space="preserve"> Approved claims are batched, pushed to corporate banking integration layers via secure microservices, and recorded inside the organization's ERP ledger. The system emits an active feedback survey.</w:t>
      </w:r>
    </w:p>
    <w:p>
      <w:pPr>
        <w:keepNext/>
        <w:spacing w:before="360" w:after="120"/>
      </w:pPr>
      <w:r>
        <w:rPr>
          <w:rFonts w:ascii="Calibri" w:hAnsi="Calibri"/>
          <w:b/>
          <w:color w:val="1A365D"/>
          <w:sz w:val="36"/>
        </w:rPr>
        <w:t>5. Detailed Functional Module Requirements</w:t>
      </w:r>
    </w:p>
    <w:p>
      <w:pPr>
        <w:keepNext/>
        <w:spacing w:before="280" w:after="80"/>
      </w:pPr>
      <w:r>
        <w:rPr>
          <w:rFonts w:ascii="Calibri" w:hAnsi="Calibri"/>
          <w:b/>
          <w:color w:val="2B6CB0"/>
          <w:sz w:val="28"/>
        </w:rPr>
        <w:t>5.1 Travel Request Module</w:t>
      </w:r>
    </w:p>
    <w:p>
      <w:pPr>
        <w:keepNext/>
        <w:spacing w:before="200" w:after="40"/>
      </w:pPr>
      <w:r>
        <w:rPr>
          <w:rFonts w:ascii="Calibri" w:hAnsi="Calibri"/>
          <w:b/>
          <w:i/>
          <w:color w:val="2B6CB0"/>
          <w:sz w:val="24"/>
        </w:rPr>
        <w:t>FR-TR-01: Submission Form Interface</w:t>
      </w:r>
    </w:p>
    <w:p>
      <w:pPr>
        <w:pStyle w:val="ListBullet"/>
        <w:spacing w:after="60"/>
      </w:pPr>
      <w:r>
        <w:rPr>
          <w:color w:val="2D3748"/>
        </w:rPr>
        <w:t>The system must provide a highly performant, accessible functional form component using unified React validation layers.</w:t>
      </w:r>
    </w:p>
    <w:p>
      <w:pPr>
        <w:pStyle w:val="ListBullet"/>
        <w:spacing w:after="60"/>
      </w:pPr>
      <w:r>
        <w:rPr>
          <w:b/>
          <w:color w:val="2D3748"/>
        </w:rPr>
        <w:t>Fields Required:</w:t>
      </w:r>
      <w:r>
        <w:rPr>
          <w:color w:val="2D3748"/>
        </w:rPr>
        <w:t>Destination, Departure Date, Return Date, Travel Purpose (Dropdown), Estimated Budget Breakdown (Flight, Lodging, Meals, Incidental), Department Allocation Code.</w:t>
      </w:r>
    </w:p>
    <w:p>
      <w:pPr>
        <w:pStyle w:val="ListBullet"/>
        <w:spacing w:after="60"/>
      </w:pPr>
      <w:r>
        <w:rPr>
          <w:b/>
          <w:color w:val="2D3748"/>
        </w:rPr>
        <w:t>Validation Rules:</w:t>
      </w:r>
      <w:r>
        <w:rPr>
          <w:color w:val="2D3748"/>
        </w:rPr>
        <w:t>Dynamic client-side blocking if Departure Date is less than current system date. Backend validating input formats strictly via parameterized models to prevent injection vectors.</w:t>
      </w:r>
    </w:p>
    <w:p>
      <w:pPr>
        <w:keepNext/>
        <w:spacing w:before="200" w:after="40"/>
      </w:pPr>
      <w:r>
        <w:rPr>
          <w:rFonts w:ascii="Calibri" w:hAnsi="Calibri"/>
          <w:b/>
          <w:i/>
          <w:color w:val="2B6CB0"/>
          <w:sz w:val="24"/>
        </w:rPr>
        <w:t>FR-TR-02: Structural Travel Request Cancellation Pipeline</w:t>
      </w:r>
    </w:p>
    <w:p>
      <w:pPr>
        <w:pStyle w:val="ListBullet"/>
        <w:spacing w:after="60"/>
      </w:pPr>
      <w:r>
        <w:rPr>
          <w:color w:val="2D3748"/>
        </w:rPr>
        <w:t>Allow employees to void approved travel requests prior to trip execution, instantly signaling database rows to recover departmental budgets.</w:t>
      </w:r>
    </w:p>
    <w:p>
      <w:pPr>
        <w:pStyle w:val="ListBullet"/>
        <w:spacing w:after="60"/>
      </w:pPr>
      <w:r>
        <w:rPr>
          <w:b/>
          <w:color w:val="2D3748"/>
        </w:rPr>
        <w:t>Status Transition:</w:t>
      </w:r>
      <w:r>
        <w:rPr>
          <w:color w:val="2D3748"/>
        </w:rPr>
        <w:t>State machine mutation changing record state from APPROVED to CANCELLED.</w:t>
      </w:r>
    </w:p>
    <w:p>
      <w:pPr>
        <w:pStyle w:val="ListBullet"/>
        <w:spacing w:after="60"/>
      </w:pPr>
      <w:r>
        <w:rPr>
          <w:b/>
          <w:color w:val="2D3748"/>
        </w:rPr>
        <w:t>Target Requirement:</w:t>
      </w:r>
      <w:r>
        <w:rPr>
          <w:color w:val="2D3748"/>
        </w:rPr>
        <w:t>Tracked via explicit database metrics to enforce the organizational macro threshold of ≤8% total travel cancellations.</w:t>
      </w:r>
    </w:p>
    <w:p>
      <w:pPr>
        <w:keepNext/>
        <w:spacing w:before="280" w:after="80"/>
      </w:pPr>
      <w:r>
        <w:rPr>
          <w:rFonts w:ascii="Calibri" w:hAnsi="Calibri"/>
          <w:b/>
          <w:color w:val="2B6CB0"/>
          <w:sz w:val="28"/>
        </w:rPr>
        <w:t>5.2 Approval Workflow Module</w:t>
      </w:r>
    </w:p>
    <w:p>
      <w:pPr>
        <w:keepNext/>
        <w:spacing w:before="200" w:after="40"/>
      </w:pPr>
      <w:r>
        <w:rPr>
          <w:rFonts w:ascii="Calibri" w:hAnsi="Calibri"/>
          <w:b/>
          <w:i/>
          <w:color w:val="2B6CB0"/>
          <w:sz w:val="24"/>
        </w:rPr>
        <w:t>FR-AW-01: SLA Tier Time Tracking Engine</w:t>
      </w:r>
    </w:p>
    <w:p>
      <w:pPr>
        <w:pStyle w:val="ListBullet"/>
        <w:spacing w:after="60"/>
      </w:pPr>
      <w:r>
        <w:rPr>
          <w:color w:val="2D3748"/>
        </w:rPr>
        <w:t>Every approval item injected into a manager's task queue must feature an asynchronous system counter measuring elapsed time from task distribution.</w:t>
      </w:r>
    </w:p>
    <w:p>
      <w:pPr>
        <w:pStyle w:val="ListBullet"/>
        <w:spacing w:after="60"/>
      </w:pPr>
      <w:r>
        <w:rPr>
          <w:b/>
          <w:color w:val="2D3748"/>
        </w:rPr>
        <w:t>Target Matrix:</w:t>
      </w:r>
      <w:r>
        <w:rPr>
          <w:color w:val="2D3748"/>
        </w:rPr>
        <w:t>Targeted at ≤4 hours processing latency per stage layer.</w:t>
      </w:r>
    </w:p>
    <w:p>
      <w:pPr>
        <w:pStyle w:val="ListBullet"/>
        <w:spacing w:after="60"/>
      </w:pPr>
      <w:r>
        <w:rPr>
          <w:b/>
          <w:color w:val="2D3748"/>
        </w:rPr>
        <w:t>Database Level:</w:t>
      </w:r>
      <w:r>
        <w:rPr>
          <w:color w:val="2D3748"/>
        </w:rPr>
        <w:t>Tracks stage_assigned_timestamp and action_completed_timestamp inside columns.</w:t>
      </w:r>
    </w:p>
    <w:p>
      <w:pPr>
        <w:keepNext/>
        <w:spacing w:before="200" w:after="40"/>
      </w:pPr>
      <w:r>
        <w:rPr>
          <w:rFonts w:ascii="Calibri" w:hAnsi="Calibri"/>
          <w:b/>
          <w:i/>
          <w:color w:val="2B6CB0"/>
          <w:sz w:val="24"/>
        </w:rPr>
        <w:t>FR-AW-02: Automated Escalation &amp; Notification Middleware</w:t>
      </w:r>
    </w:p>
    <w:p>
      <w:pPr>
        <w:pStyle w:val="ListBullet"/>
        <w:spacing w:after="60"/>
      </w:pPr>
      <w:r>
        <w:rPr>
          <w:color w:val="2D3748"/>
        </w:rPr>
        <w:t>If an approval task breaches its configured SLA window, the backend Escalation Microservice must execute a database-driven escalation routing logic.</w:t>
      </w:r>
    </w:p>
    <w:p>
      <w:pPr>
        <w:pStyle w:val="ListBullet"/>
        <w:spacing w:after="60"/>
      </w:pPr>
      <w:r>
        <w:rPr>
          <w:b/>
          <w:color w:val="2D3748"/>
        </w:rPr>
        <w:t>Functional Action:</w:t>
      </w:r>
      <w:r>
        <w:rPr>
          <w:color w:val="2D3748"/>
        </w:rPr>
        <w:t>The system reassigns the current_approver_id to the higher authority defined within the company structure mapping table, recording the shift in the escalation_log table and triggering real-time alerts.</w:t>
      </w:r>
    </w:p>
    <w:p>
      <w:pPr>
        <w:keepNext/>
        <w:spacing w:before="280" w:after="80"/>
      </w:pPr>
      <w:r>
        <w:rPr>
          <w:rFonts w:ascii="Calibri" w:hAnsi="Calibri"/>
          <w:b/>
          <w:color w:val="2B6CB0"/>
          <w:sz w:val="28"/>
        </w:rPr>
        <w:t>5.3 Expense Claim &amp; Receipt Management Module</w:t>
      </w:r>
    </w:p>
    <w:p>
      <w:pPr>
        <w:keepNext/>
        <w:spacing w:before="200" w:after="40"/>
      </w:pPr>
      <w:r>
        <w:rPr>
          <w:rFonts w:ascii="Calibri" w:hAnsi="Calibri"/>
          <w:b/>
          <w:i/>
          <w:color w:val="2B6CB0"/>
          <w:sz w:val="24"/>
        </w:rPr>
        <w:t>FR-EC-01: Optical Character Recognition (OCR) Ingestion Pipeline</w:t>
      </w:r>
    </w:p>
    <w:p>
      <w:pPr>
        <w:pStyle w:val="ListBullet"/>
        <w:spacing w:after="60"/>
      </w:pPr>
      <w:r>
        <w:rPr>
          <w:color w:val="2D3748"/>
        </w:rPr>
        <w:t>System must allow immediate drag-and-drop or mobile snapshot ingestion of receipt documents. An asynchronous file extraction processor parses metadata text.</w:t>
      </w:r>
    </w:p>
    <w:p>
      <w:pPr>
        <w:pStyle w:val="ListBullet"/>
        <w:spacing w:after="60"/>
      </w:pPr>
      <w:r>
        <w:rPr>
          <w:b/>
          <w:color w:val="2D3748"/>
        </w:rPr>
        <w:t>Functional Match Check:</w:t>
      </w:r>
      <w:r>
        <w:rPr>
          <w:color w:val="2D3748"/>
        </w:rPr>
        <w:t>Automated script maps parsed OCR outputs (Vendor Text, Date String, Numeric Total Currency Amount) directly against corresponding user-typed line items.</w:t>
      </w:r>
    </w:p>
    <w:p>
      <w:pPr>
        <w:pStyle w:val="ListBullet"/>
        <w:spacing w:after="60"/>
      </w:pPr>
      <w:r>
        <w:rPr>
          <w:b/>
          <w:color w:val="2D3748"/>
        </w:rPr>
        <w:t>Target Framework:</w:t>
      </w:r>
      <w:r>
        <w:rPr>
          <w:color w:val="2D3748"/>
        </w:rPr>
        <w:t>System target requires an automated match success rate of ≥90% without manual field override.</w:t>
      </w:r>
    </w:p>
    <w:p>
      <w:pPr>
        <w:keepNext/>
        <w:spacing w:before="200" w:after="40"/>
      </w:pPr>
      <w:r>
        <w:rPr>
          <w:rFonts w:ascii="Calibri" w:hAnsi="Calibri"/>
          <w:b/>
          <w:i/>
          <w:color w:val="2B6CB0"/>
          <w:sz w:val="24"/>
        </w:rPr>
        <w:t>FR-EC-02: Automated Duplicate Claim Detection Engine</w:t>
      </w:r>
    </w:p>
    <w:p>
      <w:pPr>
        <w:pStyle w:val="ListBullet"/>
        <w:spacing w:after="60"/>
      </w:pPr>
      <w:r>
        <w:rPr>
          <w:color w:val="2D3748"/>
        </w:rPr>
        <w:t>Background database verification algorithm running on every single claim submission.</w:t>
      </w:r>
    </w:p>
    <w:p>
      <w:pPr>
        <w:pStyle w:val="ListBullet"/>
        <w:spacing w:after="60"/>
      </w:pPr>
      <w:r>
        <w:rPr>
          <w:b/>
          <w:color w:val="2D3748"/>
        </w:rPr>
        <w:t>Verification Matrix:</w:t>
      </w:r>
      <w:r>
        <w:rPr>
          <w:color w:val="2D3748"/>
        </w:rPr>
        <w:t>Queries the database for records sharing matching attributes: employee_id, expense_date, monetary_amount, and optional OCR image checksums.</w:t>
      </w:r>
    </w:p>
    <w:p>
      <w:pPr>
        <w:pStyle w:val="ListBullet"/>
        <w:spacing w:after="60"/>
      </w:pPr>
      <w:r>
        <w:rPr>
          <w:b/>
          <w:color w:val="2D3748"/>
        </w:rPr>
        <w:t>Functional Output:</w:t>
      </w:r>
      <w:r>
        <w:rPr>
          <w:color w:val="2D3748"/>
        </w:rPr>
        <w:t>Blocks submission or raises a high-priority financial flag if a duplicate match is identified (≥99% detection reliability required).</w:t>
      </w:r>
    </w:p>
    <w:p>
      <w:pPr>
        <w:keepNext/>
        <w:spacing w:before="280" w:after="80"/>
      </w:pPr>
      <w:r>
        <w:rPr>
          <w:rFonts w:ascii="Calibri" w:hAnsi="Calibri"/>
          <w:b/>
          <w:color w:val="2B6CB0"/>
          <w:sz w:val="28"/>
        </w:rPr>
        <w:t>5.4 Reimbursement &amp; Fulfillment Module</w:t>
      </w:r>
    </w:p>
    <w:p>
      <w:pPr>
        <w:keepNext/>
        <w:spacing w:before="200" w:after="40"/>
      </w:pPr>
      <w:r>
        <w:rPr>
          <w:rFonts w:ascii="Calibri" w:hAnsi="Calibri"/>
          <w:b/>
          <w:i/>
          <w:color w:val="2B6CB0"/>
          <w:sz w:val="24"/>
        </w:rPr>
        <w:t>FR-RB-01: Batch Banking Transaction Processing Architecture</w:t>
      </w:r>
    </w:p>
    <w:p>
      <w:pPr>
        <w:pStyle w:val="ListBullet"/>
        <w:spacing w:after="60"/>
      </w:pPr>
      <w:r>
        <w:rPr>
          <w:color w:val="2D3748"/>
        </w:rPr>
        <w:t>Financial microservice aggregating all items marked as APPROVED_FOR_PAYMENT into encrypted batch configuration vectors (ISO 20022 corporate payment structures).</w:t>
      </w:r>
    </w:p>
    <w:p>
      <w:pPr>
        <w:pStyle w:val="ListBullet"/>
        <w:spacing w:after="60"/>
      </w:pPr>
      <w:r>
        <w:rPr>
          <w:b/>
          <w:color w:val="2D3748"/>
        </w:rPr>
        <w:t>System Integration:</w:t>
      </w:r>
      <w:r>
        <w:rPr>
          <w:color w:val="2D3748"/>
        </w:rPr>
        <w:t>Employs automated SFTP or REST APIs with primary corporate banking facilities, targeting final settlement execution within 3 working days.</w:t>
      </w:r>
    </w:p>
    <w:p>
      <w:pPr>
        <w:keepNext/>
        <w:spacing w:before="200" w:after="40"/>
      </w:pPr>
      <w:r>
        <w:rPr>
          <w:rFonts w:ascii="Calibri" w:hAnsi="Calibri"/>
          <w:b/>
          <w:i/>
          <w:color w:val="2B6CB0"/>
          <w:sz w:val="24"/>
        </w:rPr>
        <w:t>FR-RB-02: Continuous Error Verification Control Loop</w:t>
      </w:r>
    </w:p>
    <w:p>
      <w:pPr>
        <w:pStyle w:val="ListBullet"/>
        <w:spacing w:after="60"/>
      </w:pPr>
      <w:r>
        <w:rPr>
          <w:color w:val="2D3748"/>
        </w:rPr>
        <w:t>Automated validation routine inspecting bank response telemetry codes.</w:t>
      </w:r>
    </w:p>
    <w:p>
      <w:pPr>
        <w:pStyle w:val="ListBullet"/>
        <w:spacing w:after="60"/>
      </w:pPr>
      <w:r>
        <w:rPr>
          <w:b/>
          <w:color w:val="2D3748"/>
        </w:rPr>
        <w:t>Functional Requirements:</w:t>
      </w:r>
      <w:r>
        <w:rPr>
          <w:color w:val="2D3748"/>
        </w:rPr>
        <w:t>Captures processing exceptions (e.g., mismatched bank routing, frozen accounts), instantly alters record status flags to REIMBURSEMENT_ERROR, isolates the record into an operations correction queue, and prevents subsequent double-payout loops.</w:t>
      </w:r>
    </w:p>
    <w:p>
      <w:pPr>
        <w:keepNext/>
        <w:spacing w:before="280" w:after="80"/>
      </w:pPr>
      <w:r>
        <w:rPr>
          <w:rFonts w:ascii="Calibri" w:hAnsi="Calibri"/>
          <w:b/>
          <w:color w:val="2B6CB0"/>
          <w:sz w:val="28"/>
        </w:rPr>
        <w:t>5.5 Audit &amp; Compliance Module</w:t>
      </w:r>
    </w:p>
    <w:p>
      <w:pPr>
        <w:keepNext/>
        <w:spacing w:before="200" w:after="40"/>
      </w:pPr>
      <w:r>
        <w:rPr>
          <w:rFonts w:ascii="Calibri" w:hAnsi="Calibri"/>
          <w:b/>
          <w:i/>
          <w:color w:val="2B6CB0"/>
          <w:sz w:val="24"/>
        </w:rPr>
        <w:t>FR-AC-01: Append-Only Immutable Audit Trail Engine</w:t>
      </w:r>
    </w:p>
    <w:p>
      <w:pPr>
        <w:pStyle w:val="ListBullet"/>
        <w:spacing w:after="60"/>
      </w:pPr>
      <w:r>
        <w:rPr>
          <w:color w:val="2D3748"/>
        </w:rPr>
        <w:t>Central logging microservice running under absolute strict isolation.</w:t>
      </w:r>
    </w:p>
    <w:p>
      <w:pPr>
        <w:pStyle w:val="ListBullet"/>
        <w:spacing w:after="60"/>
      </w:pPr>
      <w:r>
        <w:rPr>
          <w:b/>
          <w:color w:val="2D3748"/>
        </w:rPr>
        <w:t>Technical Implementation:</w:t>
      </w:r>
      <w:r>
        <w:rPr>
          <w:color w:val="2D3748"/>
        </w:rPr>
        <w:t>Database table architecture enforcing absolute block on any UPDATE or DELETE permissions via application DBMS credentials. Every record change writes a structural ledger entry detailing actor UUID, timestamp, event signature, resource type, and cryptographically safe JSON containing the change payload.</w:t>
      </w:r>
    </w:p>
    <w:p>
      <w:pPr>
        <w:keepNext/>
        <w:spacing w:before="200" w:after="40"/>
      </w:pPr>
      <w:r>
        <w:rPr>
          <w:rFonts w:ascii="Calibri" w:hAnsi="Calibri"/>
          <w:b/>
          <w:i/>
          <w:color w:val="2B6CB0"/>
          <w:sz w:val="24"/>
        </w:rPr>
        <w:t>FR-AC-02: Policy Limit Constraint Engine</w:t>
      </w:r>
    </w:p>
    <w:p>
      <w:pPr>
        <w:pStyle w:val="ListBullet"/>
        <w:spacing w:after="60"/>
      </w:pPr>
      <w:r>
        <w:rPr>
          <w:color w:val="2D3748"/>
        </w:rPr>
        <w:t>A localized rule-set verification system executed instantly during expense entry.</w:t>
      </w:r>
    </w:p>
    <w:p>
      <w:pPr>
        <w:pStyle w:val="ListBullet"/>
        <w:spacing w:after="60"/>
      </w:pPr>
      <w:r>
        <w:rPr>
          <w:b/>
          <w:color w:val="2D3748"/>
        </w:rPr>
        <w:t>Functional Action:</w:t>
      </w:r>
      <w:r>
        <w:rPr>
          <w:color w:val="2D3748"/>
        </w:rPr>
        <w:t>Maps input items against corporate expense constants (e.g., maximum tier-1 city hotel per-diem cap, meal allowance limits). Flags out-of-policy entries, automatically prompting the user for required justification text, and routes matching claims to the multi-level approval pipeline.</w:t>
      </w:r>
    </w:p>
    <w:p>
      <w:r>
        <w:br w:type="page"/>
      </w:r>
    </w:p>
    <w:p>
      <w:pPr>
        <w:keepNext/>
        <w:spacing w:before="360" w:after="120"/>
      </w:pPr>
      <w:r>
        <w:rPr>
          <w:rFonts w:ascii="Calibri" w:hAnsi="Calibri"/>
          <w:b/>
          <w:color w:val="1A365D"/>
          <w:sz w:val="36"/>
        </w:rPr>
        <w:t>6. Non-Functional Requirements &amp; Technical Metrics</w:t>
      </w:r>
    </w:p>
    <w:p>
      <w:pPr>
        <w:keepNext/>
        <w:spacing w:before="280" w:after="80"/>
      </w:pPr>
      <w:r>
        <w:rPr>
          <w:rFonts w:ascii="Calibri" w:hAnsi="Calibri"/>
          <w:b/>
          <w:color w:val="2B6CB0"/>
          <w:sz w:val="28"/>
        </w:rPr>
        <w:t>6.1 Performance &amp; Efficiency Targets</w:t>
      </w:r>
    </w:p>
    <w:p>
      <w:pPr>
        <w:pStyle w:val="ListBullet"/>
        <w:spacing w:after="60"/>
      </w:pPr>
      <w:r>
        <w:rPr>
          <w:b/>
          <w:color w:val="2D3748"/>
        </w:rPr>
        <w:t>NFR-PERF-01: Global System Availability (Uptime):</w:t>
      </w:r>
      <w:r>
        <w:rPr>
          <w:color w:val="2D3748"/>
        </w:rPr>
        <w:t>Minimum operational uptime must be sustained at ≥99.95%, evaluated over rolling 30-day periods. Excludes explicitly scheduled, off-peak maintenance blocks.</w:t>
      </w:r>
    </w:p>
    <w:p>
      <w:pPr>
        <w:pStyle w:val="ListBullet"/>
        <w:spacing w:after="60"/>
      </w:pPr>
      <w:r>
        <w:rPr>
          <w:b/>
          <w:color w:val="2D3748"/>
        </w:rPr>
        <w:t>NFR-PERF-02: Application API Latency:</w:t>
      </w:r>
      <w:r>
        <w:rPr>
          <w:color w:val="2D3748"/>
        </w:rPr>
        <w:t>Maximum 95th percentile (P95) execution latency for standard API requests must not exceed 500ms under operational load curves.</w:t>
      </w:r>
    </w:p>
    <w:p>
      <w:pPr>
        <w:pStyle w:val="ListBullet"/>
        <w:spacing w:after="60"/>
      </w:pPr>
      <w:r>
        <w:rPr>
          <w:b/>
          <w:color w:val="2D3748"/>
        </w:rPr>
        <w:t>NFR-PERF-03: Interface Boot and Rendering Time:</w:t>
      </w:r>
      <w:r>
        <w:rPr>
          <w:color w:val="2D3748"/>
        </w:rPr>
        <w:t>Executive, Admin, and User Dashboards must complete absolute paint and structural layout rendering within 3 seconds from request initialization.</w:t>
      </w:r>
    </w:p>
    <w:p>
      <w:pPr>
        <w:pStyle w:val="ListBullet"/>
        <w:spacing w:after="60"/>
      </w:pPr>
      <w:r>
        <w:rPr>
          <w:b/>
          <w:color w:val="2D3748"/>
        </w:rPr>
        <w:t>NFR-PERF-04: Concurrent Structural Capacity:</w:t>
      </w:r>
      <w:r>
        <w:rPr>
          <w:color w:val="2D3748"/>
        </w:rPr>
        <w:t>The application architecture must process a baseline of 1,000 active concurrent connections without performance degradation, featuring explicit capacity to handle spike operations scaling to 3,000 concurrent sessions.</w:t>
      </w:r>
    </w:p>
    <w:p>
      <w:pPr>
        <w:keepNext/>
        <w:spacing w:before="280" w:after="80"/>
      </w:pPr>
      <w:r>
        <w:rPr>
          <w:rFonts w:ascii="Calibri" w:hAnsi="Calibri"/>
          <w:b/>
          <w:color w:val="2B6CB0"/>
          <w:sz w:val="28"/>
        </w:rPr>
        <w:t>6.2 Security Perimeter &amp; Data Protection</w:t>
      </w:r>
    </w:p>
    <w:p>
      <w:pPr>
        <w:pStyle w:val="ListBullet"/>
        <w:spacing w:after="60"/>
      </w:pPr>
      <w:r>
        <w:rPr>
          <w:b/>
          <w:color w:val="2D3748"/>
        </w:rPr>
        <w:t>NFR-SEC-01: Comprehensive Cryptographic Storage:</w:t>
      </w:r>
      <w:r>
        <w:rPr>
          <w:color w:val="2D3748"/>
        </w:rPr>
        <w:t>Every database row categorized as personal identification or private financial metadata (bank identifiers, salary structures, explicit numeric claims, attached images) must undergo encryption at rest utilizing AES-256 standard protocols. Data in transit must be isolated under TLS 1.2 or TLS 1.3 tunnels.</w:t>
      </w:r>
    </w:p>
    <w:p>
      <w:pPr>
        <w:pStyle w:val="ListBullet"/>
        <w:spacing w:after="60"/>
      </w:pPr>
      <w:r>
        <w:rPr>
          <w:b/>
          <w:color w:val="2D3748"/>
        </w:rPr>
        <w:t>NFR-SEC-02: Brute-Force Authentication Defense:</w:t>
      </w:r>
      <w:r>
        <w:rPr>
          <w:color w:val="2D3748"/>
        </w:rPr>
        <w:t>The authentication middleware must record consecutive authentication validation errors. Upon 5 invalid credential matches against a single target profile within 10 minutes, the account state must transition to an active lock state requiring Multi-Factor verification reset.</w:t>
      </w:r>
    </w:p>
    <w:p>
      <w:pPr>
        <w:pStyle w:val="ListBullet"/>
        <w:spacing w:after="60"/>
      </w:pPr>
      <w:r>
        <w:rPr>
          <w:b/>
          <w:color w:val="2D3748"/>
        </w:rPr>
        <w:t>NFR-SEC-03: Comprehensive Input Protection:</w:t>
      </w:r>
      <w:r>
        <w:rPr>
          <w:color w:val="2D3748"/>
        </w:rPr>
        <w:t>All API data entry surfaces must prevent SQL Injection vectors via exclusive use of parameterized queries. Cross-Site Scripting (XSS) is mitigated through sanitization libraries and secure content policy parameters.</w:t>
      </w:r>
    </w:p>
    <w:p>
      <w:pPr>
        <w:keepNext/>
        <w:spacing w:before="280" w:after="80"/>
      </w:pPr>
      <w:r>
        <w:rPr>
          <w:rFonts w:ascii="Calibri" w:hAnsi="Calibri"/>
          <w:b/>
          <w:color w:val="2B6CB0"/>
          <w:sz w:val="28"/>
        </w:rPr>
        <w:t>6.3 Scalability &amp; Cost Governance</w:t>
      </w:r>
    </w:p>
    <w:p>
      <w:pPr>
        <w:pStyle w:val="ListBullet"/>
        <w:spacing w:after="60"/>
      </w:pPr>
      <w:r>
        <w:rPr>
          <w:b/>
          <w:color w:val="2D3748"/>
        </w:rPr>
        <w:t>NFR-SCALE-01: Horizontal Scale-Out Elasticity:</w:t>
      </w:r>
      <w:r>
        <w:rPr>
          <w:color w:val="2D3748"/>
        </w:rPr>
        <w:t>The containerized microservices must run inside infrastructure managed with automated scaling triggers (e.g., CPU utilization crossing 70%). The environment must instantiate and register new live application nodes into active service pools within 3 minutes of the initial trigger event.</w:t>
      </w:r>
    </w:p>
    <w:p>
      <w:pPr>
        <w:pStyle w:val="ListBullet"/>
        <w:spacing w:after="60"/>
      </w:pPr>
      <w:r>
        <w:rPr>
          <w:b/>
          <w:color w:val="2D3748"/>
        </w:rPr>
        <w:t>NFR-SCALE-02: Data Layer Scale Capacity:</w:t>
      </w:r>
      <w:r>
        <w:rPr>
          <w:color w:val="2D3748"/>
        </w:rPr>
        <w:t>The database tier must preserve system latency parameters while handling up to 5,000 active execution operations per second during high-volume corporate processing periods.</w:t>
      </w:r>
    </w:p>
    <w:p>
      <w:pPr>
        <w:keepNext/>
        <w:spacing w:before="360" w:after="120"/>
      </w:pPr>
      <w:r>
        <w:rPr>
          <w:rFonts w:ascii="Calibri" w:hAnsi="Calibri"/>
          <w:b/>
          <w:color w:val="1A365D"/>
          <w:sz w:val="36"/>
        </w:rPr>
        <w:t>7. Assumptions &amp; Technical Exclusions</w:t>
      </w:r>
    </w:p>
    <w:p>
      <w:pPr>
        <w:pStyle w:val="ListBullet"/>
        <w:spacing w:after="60"/>
      </w:pPr>
      <w:r>
        <w:rPr>
          <w:b/>
          <w:color w:val="2D3748"/>
        </w:rPr>
        <w:t>1. Identity Control Layer Independence:</w:t>
      </w:r>
      <w:r>
        <w:rPr>
          <w:color w:val="2D3748"/>
        </w:rPr>
        <w:t>It is explicitly assumed that the organization maintains an operational, SAML 2.0 or OIDC-compliant Single Sign-On infrastructure (such as Okta, Azure AD, or Ping Identity). The system will decouple direct profile generation, leveraging this external identity authority for authoritative multi-factor verification states.</w:t>
      </w:r>
    </w:p>
    <w:p>
      <w:pPr>
        <w:pStyle w:val="ListBullet"/>
        <w:spacing w:after="60"/>
      </w:pPr>
      <w:r>
        <w:rPr>
          <w:b/>
          <w:color w:val="2D3748"/>
        </w:rPr>
        <w:t>2. Currency and Multi-Region Exchange Feeds:</w:t>
      </w:r>
      <w:r>
        <w:rPr>
          <w:color w:val="2D3748"/>
        </w:rPr>
        <w:t>The initial production release assumes currency calculations scale based on official daily synchronized exchange rates. Real-time sub-second point-of-sale currency conversation variations are excluded from Phase 1 scope.</w:t>
      </w:r>
    </w:p>
    <w:p>
      <w:pPr>
        <w:pStyle w:val="ListBullet"/>
        <w:spacing w:after="60"/>
      </w:pPr>
      <w:r>
        <w:rPr>
          <w:b/>
          <w:color w:val="2D3748"/>
        </w:rPr>
        <w:t>3. OCR Technical Baseline Capabilities:</w:t>
      </w:r>
      <w:r>
        <w:rPr>
          <w:color w:val="2D3748"/>
        </w:rPr>
        <w:t>Document text parsing performance metrics assume receipt images comply with minimum readability criteria (clear text, minimum resolution thresholds, absence of severe obfuscation). Highly damaged, unreadable paper records will naturally fail auto-matching arrays, defaulting directly into the standard manual verification queue.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