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Invoice INV-2026-0142</w:t>
      </w:r>
    </w:p>
    <w:p>
      <w:r>
        <w:t>Invoice for professional services, June 2026</w:t>
      </w:r>
    </w:p>
    <w:p>
      <w:pPr>
        <w:pStyle w:val="Heading1"/>
      </w:pPr>
      <w:r>
        <w:t>Invoice details</w:t>
      </w:r>
    </w:p>
    <w:p>
      <w:r>
        <w:t>Invoice number INV-2026-0142 issued on 30 June 2026 to Helios Analytics for migration services performed in June 2026. Payment is due within thirty days by bank transfer.</w:t>
      </w:r>
    </w:p>
    <w:p>
      <w:pPr>
        <w:pStyle w:val="Heading1"/>
      </w:pPr>
      <w:r>
        <w:t>Line items</w:t>
      </w:r>
    </w:p>
    <w:p>
      <w:r>
        <w:t>Migration assessment, 16 hours at 150 per hour. Data transfer and verification of 4.2 terabytes at 45 per terabyte. Post-migration support retainer, one month.</w:t>
      </w:r>
    </w:p>
    <w:p>
      <w:pPr>
        <w:pStyle w:val="Heading1"/>
      </w:pPr>
      <w:r>
        <w:t>Totals</w:t>
      </w:r>
    </w:p>
    <w:p>
      <w:r>
        <w:t>Subtotal 3,789.00, VAT at 19 percent 719.91, total due 4,508.91. Please quote the invoice number on your payment.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Amount</w:t>
            </w:r>
          </w:p>
        </w:tc>
      </w:tr>
      <w:tr>
        <w:tc>
          <w:tcPr>
            <w:tcW w:type="dxa" w:w="2160"/>
          </w:tcPr>
          <w:p>
            <w:r>
              <w:t>Migration assessment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150.00</w:t>
            </w:r>
          </w:p>
        </w:tc>
        <w:tc>
          <w:tcPr>
            <w:tcW w:type="dxa" w:w="2160"/>
          </w:tcPr>
          <w:p>
            <w:r>
              <w:t>2,400.00</w:t>
            </w:r>
          </w:p>
        </w:tc>
      </w:tr>
      <w:tr>
        <w:tc>
          <w:tcPr>
            <w:tcW w:type="dxa" w:w="2160"/>
          </w:tcPr>
          <w:p>
            <w:r>
              <w:t>Data transfer</w:t>
            </w:r>
          </w:p>
        </w:tc>
        <w:tc>
          <w:tcPr>
            <w:tcW w:type="dxa" w:w="2160"/>
          </w:tcPr>
          <w:p>
            <w:r>
              <w:t>4.2 TB</w:t>
            </w:r>
          </w:p>
        </w:tc>
        <w:tc>
          <w:tcPr>
            <w:tcW w:type="dxa" w:w="2160"/>
          </w:tcPr>
          <w:p>
            <w:r>
              <w:t>45.00</w:t>
            </w:r>
          </w:p>
        </w:tc>
        <w:tc>
          <w:tcPr>
            <w:tcW w:type="dxa" w:w="2160"/>
          </w:tcPr>
          <w:p>
            <w:r>
              <w:t>189.00</w:t>
            </w:r>
          </w:p>
        </w:tc>
      </w:tr>
      <w:tr>
        <w:tc>
          <w:tcPr>
            <w:tcW w:type="dxa" w:w="2160"/>
          </w:tcPr>
          <w:p>
            <w:r>
              <w:t>Support retainer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1,200.00</w:t>
            </w:r>
          </w:p>
        </w:tc>
        <w:tc>
          <w:tcPr>
            <w:tcW w:type="dxa" w:w="2160"/>
          </w:tcPr>
          <w:p>
            <w:r>
              <w:t>1,200.00</w:t>
            </w:r>
          </w:p>
        </w:tc>
      </w:tr>
      <w:tr>
        <w:tc>
          <w:tcPr>
            <w:tcW w:type="dxa" w:w="2160"/>
          </w:tcPr>
          <w:p>
            <w:r>
              <w:t>Total (incl. VAT)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4,508.91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INV-2026-0142</dc:title>
  <dc:subject/>
  <dc:creator>Filex Demo Workspace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