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Migration Plan</w:t>
      </w:r>
    </w:p>
    <w:p>
      <w:r>
        <w:t>Moving legacy WebDAV shares to managed object storage</w:t>
      </w:r>
    </w:p>
    <w:p>
      <w:pPr>
        <w:pStyle w:val="Heading1"/>
      </w:pPr>
      <w:r>
        <w:t>Summary</w:t>
      </w:r>
    </w:p>
    <w:p>
      <w:r>
        <w:t>This migration plan moves the remaining 38 customer workspaces from self-hosted WebDAV shares to managed S3 storage without downtime for end users.</w:t>
      </w:r>
    </w:p>
    <w:p>
      <w:pPr>
        <w:pStyle w:val="Heading1"/>
      </w:pPr>
      <w:r>
        <w:t>Phases</w:t>
      </w:r>
    </w:p>
    <w:p>
      <w:r>
        <w:t>Phase one inventories every share and estimates transfer time. Phase two runs a read-only mirror to S3 and verifies checksums. Phase three flips the workspace backend and keeps the WebDAV share as a fallback for two weeks.</w:t>
      </w:r>
    </w:p>
    <w:p>
      <w:pPr>
        <w:pStyle w:val="Heading1"/>
      </w:pPr>
      <w:r>
        <w:t>Risks</w:t>
      </w:r>
    </w:p>
    <w:p>
      <w:r>
        <w:t>Large workspaces above ten terabytes may need a physical transfer appliance. Files with names that are invalid object keys are renamed and the mapping is stored in the migration log.</w:t>
      </w:r>
    </w:p>
    <w:p>
      <w:pPr>
        <w:pStyle w:val="Heading1"/>
      </w:pPr>
      <w:r>
        <w:t>Rollback</w:t>
      </w:r>
    </w:p>
    <w:p>
      <w:r>
        <w:t>Because the WebDAV share stays untouched during phase two and three, rollback is a configuration change that points the workspace back at the original backend.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End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2026-07-06</w:t>
            </w:r>
          </w:p>
        </w:tc>
        <w:tc>
          <w:tcPr>
            <w:tcW w:type="dxa" w:w="2880"/>
          </w:tcPr>
          <w:p>
            <w:r>
              <w:t>2026-07-17</w:t>
            </w:r>
          </w:p>
        </w:tc>
      </w:tr>
      <w:tr>
        <w:tc>
          <w:tcPr>
            <w:tcW w:type="dxa" w:w="2880"/>
          </w:tcPr>
          <w:p>
            <w:r>
              <w:t>Mirror</w:t>
            </w:r>
          </w:p>
        </w:tc>
        <w:tc>
          <w:tcPr>
            <w:tcW w:type="dxa" w:w="2880"/>
          </w:tcPr>
          <w:p>
            <w:r>
              <w:t>2026-07-20</w:t>
            </w:r>
          </w:p>
        </w:tc>
        <w:tc>
          <w:tcPr>
            <w:tcW w:type="dxa" w:w="2880"/>
          </w:tcPr>
          <w:p>
            <w:r>
              <w:t>2026-08-14</w:t>
            </w:r>
          </w:p>
        </w:tc>
      </w:tr>
      <w:tr>
        <w:tc>
          <w:tcPr>
            <w:tcW w:type="dxa" w:w="2880"/>
          </w:tcPr>
          <w:p>
            <w:r>
              <w:t>Cutover</w:t>
            </w:r>
          </w:p>
        </w:tc>
        <w:tc>
          <w:tcPr>
            <w:tcW w:type="dxa" w:w="2880"/>
          </w:tcPr>
          <w:p>
            <w:r>
              <w:t>2026-08-17</w:t>
            </w:r>
          </w:p>
        </w:tc>
        <w:tc>
          <w:tcPr>
            <w:tcW w:type="dxa" w:w="2880"/>
          </w:tcPr>
          <w:p>
            <w:r>
              <w:t>2026-08-28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Plan</dc:title>
  <dc:subject/>
  <dc:creator>Filex Demo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