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Roadmap</w:t>
      </w:r>
    </w:p>
    <w:p>
      <w:r>
        <w:t>Project roadmap for July to September 2026</w:t>
      </w:r>
    </w:p>
    <w:p>
      <w:pPr>
        <w:pStyle w:val="Heading1"/>
      </w:pPr>
      <w:r>
        <w:t>Themes</w:t>
      </w:r>
    </w:p>
    <w:p>
      <w:r>
        <w:t>The Q3 project roadmap has three themes: sharing, search and security. Each theme has an owner, a target release and a measurable outcome.</w:t>
      </w:r>
    </w:p>
    <w:p>
      <w:pPr>
        <w:pStyle w:val="Heading1"/>
      </w:pPr>
      <w:r>
        <w:t>Sharing</w:t>
      </w:r>
    </w:p>
    <w:p>
      <w:r>
        <w:t>Ship share links with PIN and expiry in July, group sharing in August and access reports in September.</w:t>
      </w:r>
    </w:p>
    <w:p>
      <w:pPr>
        <w:pStyle w:val="Heading1"/>
      </w:pPr>
      <w:r>
        <w:t>Search</w:t>
      </w:r>
    </w:p>
    <w:p>
      <w:r>
        <w:t>Roll out full-text content search for PDF, DOCX and Markdown, then extend it to spreadsheets. Index rebuilds must finish within one hour for a workspace of one million files.</w:t>
      </w:r>
    </w:p>
    <w:p>
      <w:pPr>
        <w:pStyle w:val="Heading1"/>
      </w:pPr>
      <w:r>
        <w:t>Security</w:t>
      </w:r>
    </w:p>
    <w:p>
      <w:r>
        <w:t>Enforce two-factor authentication for administrators, expire API tokens by default and finish the recommendations from the July security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Share links</w:t>
            </w:r>
          </w:p>
        </w:tc>
        <w:tc>
          <w:tcPr>
            <w:tcW w:type="dxa" w:w="2880"/>
          </w:tcPr>
          <w:p>
            <w:r>
              <w:t>Anna Kowalski</w:t>
            </w:r>
          </w:p>
        </w:tc>
        <w:tc>
          <w:tcPr>
            <w:tcW w:type="dxa" w:w="2880"/>
          </w:tcPr>
          <w:p>
            <w:r>
              <w:t>2026-07-24</w:t>
            </w:r>
          </w:p>
        </w:tc>
      </w:tr>
      <w:tr>
        <w:tc>
          <w:tcPr>
            <w:tcW w:type="dxa" w:w="2880"/>
          </w:tcPr>
          <w:p>
            <w:r>
              <w:t>Content search</w:t>
            </w:r>
          </w:p>
        </w:tc>
        <w:tc>
          <w:tcPr>
            <w:tcW w:type="dxa" w:w="2880"/>
          </w:tcPr>
          <w:p>
            <w:r>
              <w:t>Marco Rossi</w:t>
            </w:r>
          </w:p>
        </w:tc>
        <w:tc>
          <w:tcPr>
            <w:tcW w:type="dxa" w:w="2880"/>
          </w:tcPr>
          <w:p>
            <w:r>
              <w:t>2026-08-21</w:t>
            </w:r>
          </w:p>
        </w:tc>
      </w:tr>
      <w:tr>
        <w:tc>
          <w:tcPr>
            <w:tcW w:type="dxa" w:w="2880"/>
          </w:tcPr>
          <w:p>
            <w:r>
              <w:t>2FA enforcement</w:t>
            </w:r>
          </w:p>
        </w:tc>
        <w:tc>
          <w:tcPr>
            <w:tcW w:type="dxa" w:w="2880"/>
          </w:tcPr>
          <w:p>
            <w:r>
              <w:t>Elena Petrova</w:t>
            </w:r>
          </w:p>
        </w:tc>
        <w:tc>
          <w:tcPr>
            <w:tcW w:type="dxa" w:w="2880"/>
          </w:tcPr>
          <w:p>
            <w:r>
              <w:t>2026-09-11</w:t>
            </w:r>
          </w:p>
        </w:tc>
      </w:tr>
      <w:tr>
        <w:tc>
          <w:tcPr>
            <w:tcW w:type="dxa" w:w="2880"/>
          </w:tcPr>
          <w:p>
            <w:r>
              <w:t>Access reports</w:t>
            </w:r>
          </w:p>
        </w:tc>
        <w:tc>
          <w:tcPr>
            <w:tcW w:type="dxa" w:w="2880"/>
          </w:tcPr>
          <w:p>
            <w:r>
              <w:t>Tom Schmidt</w:t>
            </w:r>
          </w:p>
        </w:tc>
        <w:tc>
          <w:tcPr>
            <w:tcW w:type="dxa" w:w="2880"/>
          </w:tcPr>
          <w:p>
            <w:r>
              <w:t>2026-09-25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Roadmap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