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sz w:val="80"/>
          <w:szCs w:val="80"/>
        </w:rPr>
      </w:pPr>
      <w:r>
        <w:rPr>
          <w:b/>
          <w:bCs/>
          <w:sz w:val="80"/>
          <w:szCs w:val="80"/>
        </w:rPr>
        <w:t>FLUX</w:t>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sz w:val="48"/>
          <w:szCs w:val="48"/>
        </w:rPr>
      </w:pPr>
      <w:r>
        <w:rPr>
          <w:b/>
          <w:bCs/>
          <w:sz w:val="48"/>
          <w:szCs w:val="48"/>
        </w:rPr>
        <w:t>LINGUAGEM DE PROGRAMAÇÃO</w:t>
      </w:r>
    </w:p>
    <w:p>
      <w:pPr>
        <w:pStyle w:val="Normal"/>
        <w:jc w:val="center"/>
        <w:rPr>
          <w:b/>
          <w:bCs/>
        </w:rPr>
      </w:pPr>
      <w:r>
        <w:rPr>
          <w:b/>
          <w:bCs/>
        </w:rPr>
        <w:t>White Paper, versão 0.1</w:t>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 xml:space="preserve">Bauru/SP – 2026 </w:t>
      </w:r>
      <w:r>
        <w:br w:type="page"/>
      </w:r>
    </w:p>
    <w:p>
      <w:pPr>
        <w:pStyle w:val="Normal"/>
        <w:spacing w:before="0" w:after="0"/>
        <w:jc w:val="center"/>
        <w:rPr>
          <w:b/>
          <w:bCs/>
        </w:rPr>
      </w:pPr>
      <w:r>
        <w:rPr>
          <w:b/>
          <w:bCs/>
        </w:rPr>
        <w:t>SUMÁRIO</w:t>
      </w:r>
    </w:p>
    <w:p>
      <w:pPr>
        <w:pStyle w:val="Normal"/>
        <w:rPr>
          <w:b/>
          <w:bCs/>
        </w:rPr>
      </w:pPr>
      <w:r>
        <w:rPr>
          <w:b/>
          <w:bCs/>
        </w:rPr>
      </w:r>
    </w:p>
    <w:sdt>
      <w:sdtPr>
        <w:docPartObj>
          <w:docPartGallery w:val="Table of Contents"/>
          <w:docPartUnique w:val="true"/>
        </w:docPartObj>
      </w:sdtPr>
      <w:sdtContent>
        <w:p>
          <w:pPr>
            <w:pStyle w:val="TOC1"/>
            <w:tabs>
              <w:tab w:val="clear" w:pos="708"/>
              <w:tab w:val="right" w:pos="8503" w:leader="dot"/>
            </w:tabs>
            <w:rPr/>
          </w:pPr>
          <w:r>
            <w:fldChar w:fldCharType="begin"/>
          </w:r>
          <w:r>
            <w:rPr>
              <w:rStyle w:val="Vnculodendiceuser"/>
              <w:vanish w:val="false"/>
            </w:rPr>
            <w:instrText xml:space="preserve"> TOC \z \o "1-3" \u \h</w:instrText>
          </w:r>
          <w:r>
            <w:rPr>
              <w:rStyle w:val="Vnculodendiceuser"/>
              <w:vanish w:val="false"/>
            </w:rPr>
            <w:fldChar w:fldCharType="separate"/>
          </w:r>
          <w:r>
            <w:rPr>
              <w:rStyle w:val="Vnculodendiceuser"/>
              <w:vanish w:val="false"/>
            </w:rPr>
            <w:t>1 Introdução</w:t>
          </w:r>
          <w:r>
            <w:rPr>
              <w:vanish w:val="false"/>
            </w:rPr>
            <w:tab/>
            <w:t>4</w:t>
          </w:r>
        </w:p>
        <w:p>
          <w:pPr>
            <w:pStyle w:val="TOC2"/>
            <w:tabs>
              <w:tab w:val="clear" w:pos="8494"/>
              <w:tab w:val="right" w:pos="8503" w:leader="dot"/>
            </w:tabs>
            <w:rPr/>
          </w:pPr>
          <w:r>
            <w:rPr>
              <w:vanish w:val="false"/>
            </w:rPr>
            <w:t>1.1 Objetivos da Linguagem</w:t>
            <w:tab/>
            <w:t>4</w:t>
          </w:r>
        </w:p>
        <w:p>
          <w:pPr>
            <w:pStyle w:val="TOC3"/>
            <w:tabs>
              <w:tab w:val="clear" w:pos="708"/>
              <w:tab w:val="right" w:pos="8503" w:leader="dot"/>
            </w:tabs>
            <w:rPr/>
          </w:pPr>
          <w:r>
            <w:rPr>
              <w:i/>
              <w:iCs/>
              <w:vanish w:val="false"/>
            </w:rPr>
            <w:t>1.1.1 Diretrizes Arquiteturais (Objetivos Principais)</w:t>
          </w:r>
          <w:r>
            <w:rPr/>
            <w:tab/>
            <w:t>4</w:t>
          </w:r>
        </w:p>
        <w:p>
          <w:pPr>
            <w:pStyle w:val="TOC3"/>
            <w:tabs>
              <w:tab w:val="clear" w:pos="708"/>
              <w:tab w:val="right" w:pos="8503" w:leader="dot"/>
            </w:tabs>
            <w:rPr/>
          </w:pPr>
          <w:r>
            <w:rPr>
              <w:i/>
              <w:iCs/>
              <w:vanish w:val="false"/>
            </w:rPr>
            <w:t>1.1.2 Domínios de Execução (Escopo de Aplicação)</w:t>
          </w:r>
          <w:r>
            <w:rPr/>
            <w:tab/>
            <w:t>5</w:t>
          </w:r>
        </w:p>
        <w:p>
          <w:pPr>
            <w:pStyle w:val="TOC1"/>
            <w:tabs>
              <w:tab w:val="clear" w:pos="708"/>
              <w:tab w:val="right" w:pos="8503" w:leader="dot"/>
            </w:tabs>
            <w:rPr/>
          </w:pPr>
          <w:r>
            <w:rPr>
              <w:vanish w:val="false"/>
            </w:rPr>
            <w:t>2 Arquitetura Geral</w:t>
            <w:tab/>
            <w:t>6</w:t>
          </w:r>
        </w:p>
        <w:p>
          <w:pPr>
            <w:pStyle w:val="TOC1"/>
            <w:tabs>
              <w:tab w:val="clear" w:pos="708"/>
              <w:tab w:val="right" w:pos="8503" w:leader="dot"/>
            </w:tabs>
            <w:rPr/>
          </w:pPr>
          <w:r>
            <w:rPr>
              <w:vanish w:val="false"/>
            </w:rPr>
            <w:t xml:space="preserve">3 Filosofia do </w:t>
          </w:r>
          <w:r>
            <w:rPr>
              <w:i/>
              <w:iCs/>
            </w:rPr>
            <w:t>Kernel</w:t>
          </w:r>
          <w:r>
            <w:rPr/>
            <w:tab/>
            <w:t>7</w:t>
          </w:r>
        </w:p>
        <w:p>
          <w:pPr>
            <w:pStyle w:val="TOC2"/>
            <w:tabs>
              <w:tab w:val="clear" w:pos="8494"/>
              <w:tab w:val="right" w:pos="8503" w:leader="dot"/>
            </w:tabs>
            <w:rPr/>
          </w:pPr>
          <w:r>
            <w:rPr>
              <w:vanish w:val="false"/>
            </w:rPr>
            <w:t xml:space="preserve">3.1 Fronteiras de Abstração (O que o </w:t>
          </w:r>
          <w:r>
            <w:rPr>
              <w:i/>
              <w:iCs/>
            </w:rPr>
            <w:t>kernel</w:t>
          </w:r>
          <w:r>
            <w:rPr/>
            <w:t xml:space="preserve"> ignora)</w:t>
            <w:tab/>
            <w:t>7</w:t>
          </w:r>
        </w:p>
        <w:p>
          <w:pPr>
            <w:pStyle w:val="TOC2"/>
            <w:tabs>
              <w:tab w:val="clear" w:pos="8494"/>
              <w:tab w:val="right" w:pos="8503" w:leader="dot"/>
            </w:tabs>
            <w:rPr/>
          </w:pPr>
          <w:r>
            <w:rPr>
              <w:vanish w:val="false"/>
            </w:rPr>
            <w:t xml:space="preserve">3.2 Competências de Infraestrutura (O que o </w:t>
          </w:r>
          <w:r>
            <w:rPr>
              <w:i/>
              <w:iCs/>
            </w:rPr>
            <w:t>kernel</w:t>
          </w:r>
          <w:r>
            <w:rPr/>
            <w:t xml:space="preserve"> governa)</w:t>
            <w:tab/>
            <w:t>7</w:t>
          </w:r>
        </w:p>
        <w:p>
          <w:pPr>
            <w:pStyle w:val="TOC2"/>
            <w:tabs>
              <w:tab w:val="clear" w:pos="8494"/>
              <w:tab w:val="right" w:pos="8503" w:leader="dot"/>
            </w:tabs>
            <w:rPr/>
          </w:pPr>
          <w:r>
            <w:rPr>
              <w:vanish w:val="false"/>
            </w:rPr>
            <w:t>3.3 Metaprogramação</w:t>
            <w:tab/>
            <w:t>8</w:t>
          </w:r>
        </w:p>
        <w:p>
          <w:pPr>
            <w:pStyle w:val="TOC1"/>
            <w:tabs>
              <w:tab w:val="clear" w:pos="708"/>
              <w:tab w:val="right" w:pos="8503" w:leader="dot"/>
            </w:tabs>
            <w:rPr/>
          </w:pPr>
          <w:r>
            <w:rPr>
              <w:vanish w:val="false"/>
            </w:rPr>
            <w:t>4 Filosofia dos a</w:t>
          </w:r>
          <w:r>
            <w:rPr>
              <w:i/>
              <w:iCs/>
            </w:rPr>
            <w:t>gents</w:t>
          </w:r>
          <w:r>
            <w:rPr/>
            <w:tab/>
            <w:t>9</w:t>
          </w:r>
        </w:p>
        <w:p>
          <w:pPr>
            <w:pStyle w:val="TOC2"/>
            <w:tabs>
              <w:tab w:val="clear" w:pos="8494"/>
              <w:tab w:val="right" w:pos="8503" w:leader="dot"/>
            </w:tabs>
            <w:rPr/>
          </w:pPr>
          <w:r>
            <w:rPr>
              <w:vanish w:val="false"/>
            </w:rPr>
            <w:t>4.1 Contratos Semânticos</w:t>
            <w:tab/>
            <w:t>9</w:t>
          </w:r>
        </w:p>
        <w:p>
          <w:pPr>
            <w:pStyle w:val="TOC2"/>
            <w:tabs>
              <w:tab w:val="clear" w:pos="8494"/>
              <w:tab w:val="right" w:pos="8503" w:leader="dot"/>
            </w:tabs>
            <w:rPr/>
          </w:pPr>
          <w:r>
            <w:rPr>
              <w:vanish w:val="false"/>
            </w:rPr>
            <w:t>4.2 DSLs implementadas como a</w:t>
          </w:r>
          <w:r>
            <w:rPr>
              <w:i/>
              <w:iCs/>
            </w:rPr>
            <w:t>gent</w:t>
          </w:r>
          <w:r>
            <w:rPr/>
            <w:t>s</w:t>
            <w:tab/>
            <w:t>10</w:t>
          </w:r>
        </w:p>
        <w:p>
          <w:pPr>
            <w:pStyle w:val="TOC1"/>
            <w:tabs>
              <w:tab w:val="clear" w:pos="708"/>
              <w:tab w:val="right" w:pos="8503" w:leader="dot"/>
            </w:tabs>
            <w:rPr/>
          </w:pPr>
          <w:r>
            <w:rPr>
              <w:vanish w:val="false"/>
            </w:rPr>
            <w:t>5 Filosofia do Fluxo</w:t>
            <w:tab/>
            <w:t>11</w:t>
          </w:r>
        </w:p>
        <w:p>
          <w:pPr>
            <w:pStyle w:val="TOC2"/>
            <w:tabs>
              <w:tab w:val="clear" w:pos="8494"/>
              <w:tab w:val="right" w:pos="8503" w:leader="dot"/>
            </w:tabs>
            <w:rPr/>
          </w:pPr>
          <w:r>
            <w:rPr>
              <w:vanish w:val="false"/>
            </w:rPr>
            <w:t>5.1 Mecânica do Operador Pipe (--&gt;)</w:t>
            <w:tab/>
            <w:t>11</w:t>
          </w:r>
        </w:p>
        <w:p>
          <w:pPr>
            <w:pStyle w:val="TOC2"/>
            <w:tabs>
              <w:tab w:val="clear" w:pos="8494"/>
              <w:tab w:val="right" w:pos="8503" w:leader="dot"/>
            </w:tabs>
            <w:rPr/>
          </w:pPr>
          <w:r>
            <w:rPr>
              <w:vanish w:val="false"/>
            </w:rPr>
            <w:t>5.2 Equivalência Semântica</w:t>
            <w:tab/>
            <w:t>11</w:t>
          </w:r>
        </w:p>
        <w:p>
          <w:pPr>
            <w:pStyle w:val="TOC1"/>
            <w:tabs>
              <w:tab w:val="clear" w:pos="708"/>
              <w:tab w:val="right" w:pos="8503" w:leader="dot"/>
            </w:tabs>
            <w:rPr/>
          </w:pPr>
          <w:r>
            <w:rPr>
              <w:vanish w:val="false"/>
            </w:rPr>
            <w:t>6 Filosofia do Runtime</w:t>
            <w:tab/>
            <w:t>13</w:t>
          </w:r>
        </w:p>
        <w:p>
          <w:pPr>
            <w:pStyle w:val="TOC2"/>
            <w:tabs>
              <w:tab w:val="clear" w:pos="8494"/>
              <w:tab w:val="right" w:pos="8503" w:leader="dot"/>
            </w:tabs>
            <w:rPr/>
          </w:pPr>
          <w:r>
            <w:rPr>
              <w:vanish w:val="false"/>
            </w:rPr>
            <w:t>6.1 Filosofia de Memória</w:t>
            <w:tab/>
            <w:t>13</w:t>
          </w:r>
        </w:p>
        <w:p>
          <w:pPr>
            <w:pStyle w:val="TOC2"/>
            <w:tabs>
              <w:tab w:val="clear" w:pos="8494"/>
              <w:tab w:val="right" w:pos="8503" w:leader="dot"/>
            </w:tabs>
            <w:rPr/>
          </w:pPr>
          <w:r>
            <w:rPr>
              <w:vanish w:val="false"/>
            </w:rPr>
            <w:t xml:space="preserve">6.2 </w:t>
          </w:r>
          <w:r>
            <w:rPr>
              <w:i/>
              <w:iCs/>
            </w:rPr>
            <w:t>Lifetime</w:t>
          </w:r>
          <w:r>
            <w:rPr/>
            <w:t xml:space="preserve"> Inferido</w:t>
            <w:tab/>
            <w:t>14</w:t>
          </w:r>
        </w:p>
        <w:p>
          <w:pPr>
            <w:pStyle w:val="TOC2"/>
            <w:tabs>
              <w:tab w:val="clear" w:pos="8494"/>
              <w:tab w:val="right" w:pos="8503" w:leader="dot"/>
            </w:tabs>
            <w:rPr/>
          </w:pPr>
          <w:r>
            <w:rPr>
              <w:vanish w:val="false"/>
            </w:rPr>
            <w:t>6.3 Filosofia de Performance</w:t>
            <w:tab/>
            <w:t>15</w:t>
          </w:r>
        </w:p>
        <w:p>
          <w:pPr>
            <w:pStyle w:val="TOC2"/>
            <w:tabs>
              <w:tab w:val="clear" w:pos="8494"/>
              <w:tab w:val="right" w:pos="8503" w:leader="dot"/>
            </w:tabs>
            <w:rPr/>
          </w:pPr>
          <w:r>
            <w:rPr>
              <w:vanish w:val="false"/>
            </w:rPr>
            <w:t>6.4 Pipeline de Compilação e Execução</w:t>
            <w:tab/>
            <w:t>16</w:t>
          </w:r>
        </w:p>
        <w:p>
          <w:pPr>
            <w:pStyle w:val="TOC3"/>
            <w:tabs>
              <w:tab w:val="clear" w:pos="708"/>
              <w:tab w:val="right" w:pos="8503" w:leader="dot"/>
            </w:tabs>
            <w:rPr/>
          </w:pPr>
          <w:r>
            <w:rPr>
              <w:vanish w:val="false"/>
            </w:rPr>
            <w:t>6.4.1 Contrato de Paridade de Recursos</w:t>
            <w:tab/>
            <w:t>16</w:t>
          </w:r>
        </w:p>
        <w:p>
          <w:pPr>
            <w:pStyle w:val="TOC2"/>
            <w:tabs>
              <w:tab w:val="clear" w:pos="8494"/>
              <w:tab w:val="right" w:pos="8503" w:leader="dot"/>
            </w:tabs>
            <w:rPr/>
          </w:pPr>
          <w:r>
            <w:rPr>
              <w:vanish w:val="false"/>
            </w:rPr>
            <w:t>6.5 Interface de Linha de Comando (CLI) e Alvos de Saída</w:t>
            <w:tab/>
            <w:t>17</w:t>
          </w:r>
        </w:p>
        <w:p>
          <w:pPr>
            <w:pStyle w:val="TOC1"/>
            <w:tabs>
              <w:tab w:val="clear" w:pos="708"/>
              <w:tab w:val="right" w:pos="8503" w:leader="dot"/>
            </w:tabs>
            <w:rPr/>
          </w:pPr>
          <w:r>
            <w:rPr>
              <w:vanish w:val="false"/>
            </w:rPr>
            <w:t>7 Filosofia de Interoperabilidade</w:t>
            <w:tab/>
            <w:t>18</w:t>
          </w:r>
        </w:p>
        <w:p>
          <w:pPr>
            <w:pStyle w:val="TOC2"/>
            <w:tabs>
              <w:tab w:val="clear" w:pos="8494"/>
              <w:tab w:val="right" w:pos="8503" w:leader="dot"/>
            </w:tabs>
            <w:rPr/>
          </w:pPr>
          <w:r>
            <w:rPr>
              <w:vanish w:val="false"/>
            </w:rPr>
            <w:t>7.1 Compensação de Deslocamento (</w:t>
          </w:r>
          <w:r>
            <w:rPr>
              <w:i/>
              <w:iCs/>
            </w:rPr>
            <w:t>Index Offset Shifting</w:t>
          </w:r>
          <w:r>
            <w:rPr/>
            <w:t>)</w:t>
            <w:tab/>
            <w:t>18</w:t>
          </w:r>
        </w:p>
        <w:p>
          <w:pPr>
            <w:pStyle w:val="TOC1"/>
            <w:tabs>
              <w:tab w:val="clear" w:pos="708"/>
              <w:tab w:val="right" w:pos="8503" w:leader="dot"/>
            </w:tabs>
            <w:rPr/>
          </w:pPr>
          <w:r>
            <w:rPr>
              <w:vanish w:val="false"/>
            </w:rPr>
            <w:t>8 Padronização de Indentação e Comentários</w:t>
            <w:tab/>
            <w:t>20</w:t>
          </w:r>
        </w:p>
        <w:p>
          <w:pPr>
            <w:pStyle w:val="TOC2"/>
            <w:tabs>
              <w:tab w:val="clear" w:pos="8494"/>
              <w:tab w:val="right" w:pos="8503" w:leader="dot"/>
            </w:tabs>
            <w:rPr/>
          </w:pPr>
          <w:r>
            <w:rPr>
              <w:vanish w:val="false"/>
            </w:rPr>
            <w:t>8.1 Exemplo de Comentário de linha única</w:t>
            <w:tab/>
            <w:t>20</w:t>
          </w:r>
        </w:p>
        <w:p>
          <w:pPr>
            <w:pStyle w:val="TOC2"/>
            <w:tabs>
              <w:tab w:val="clear" w:pos="8494"/>
              <w:tab w:val="right" w:pos="8503" w:leader="dot"/>
            </w:tabs>
            <w:rPr/>
          </w:pPr>
          <w:r>
            <w:rPr>
              <w:vanish w:val="false"/>
            </w:rPr>
            <w:t>8.2 Exemplo de Comentário de bloco de linhas</w:t>
            <w:tab/>
            <w:t>20</w:t>
          </w:r>
        </w:p>
        <w:p>
          <w:pPr>
            <w:pStyle w:val="TOC2"/>
            <w:tabs>
              <w:tab w:val="clear" w:pos="8494"/>
              <w:tab w:val="right" w:pos="8503" w:leader="dot"/>
            </w:tabs>
            <w:rPr/>
          </w:pPr>
          <w:r>
            <w:rPr>
              <w:vanish w:val="false"/>
            </w:rPr>
            <w:t>8.3 Exemplo de Comentário de documentação</w:t>
            <w:tab/>
            <w:t>20</w:t>
          </w:r>
        </w:p>
        <w:p>
          <w:pPr>
            <w:pStyle w:val="TOC1"/>
            <w:tabs>
              <w:tab w:val="clear" w:pos="708"/>
              <w:tab w:val="right" w:pos="8503" w:leader="dot"/>
            </w:tabs>
            <w:rPr/>
          </w:pPr>
          <w:r>
            <w:rPr>
              <w:vanish w:val="false"/>
            </w:rPr>
            <w:t>9 Padronização da Nomenclatura</w:t>
            <w:tab/>
            <w:t>21</w:t>
          </w:r>
        </w:p>
        <w:p>
          <w:pPr>
            <w:pStyle w:val="TOC1"/>
            <w:tabs>
              <w:tab w:val="clear" w:pos="708"/>
              <w:tab w:val="right" w:pos="8503" w:leader="dot"/>
            </w:tabs>
            <w:rPr/>
          </w:pPr>
          <w:r>
            <w:rPr>
              <w:vanish w:val="false"/>
            </w:rPr>
            <w:t>10 Padronização de Continuidade de Linha</w:t>
            <w:tab/>
            <w:t>22</w:t>
          </w:r>
        </w:p>
        <w:p>
          <w:pPr>
            <w:pStyle w:val="TOC1"/>
            <w:tabs>
              <w:tab w:val="clear" w:pos="708"/>
              <w:tab w:val="right" w:pos="8503" w:leader="dot"/>
            </w:tabs>
            <w:rPr/>
          </w:pPr>
          <w:r>
            <w:rPr>
              <w:vanish w:val="false"/>
            </w:rPr>
            <w:t>11 Tipos Fundamentais</w:t>
            <w:tab/>
            <w:t>23</w:t>
          </w:r>
        </w:p>
        <w:p>
          <w:pPr>
            <w:pStyle w:val="TOC2"/>
            <w:tabs>
              <w:tab w:val="clear" w:pos="8494"/>
              <w:tab w:val="right" w:pos="8503" w:leader="dot"/>
            </w:tabs>
            <w:rPr/>
          </w:pPr>
          <w:r>
            <w:rPr>
              <w:vanish w:val="false"/>
            </w:rPr>
            <w:t>11.1 Precisão Numérica</w:t>
            <w:tab/>
            <w:t>23</w:t>
          </w:r>
        </w:p>
        <w:p>
          <w:pPr>
            <w:pStyle w:val="TOC2"/>
            <w:tabs>
              <w:tab w:val="clear" w:pos="8494"/>
              <w:tab w:val="right" w:pos="8503" w:leader="dot"/>
            </w:tabs>
            <w:rPr/>
          </w:pPr>
          <w:r>
            <w:rPr>
              <w:vanish w:val="false"/>
            </w:rPr>
            <w:t>11.2 Struct e Enum (Tipos Compostos)</w:t>
            <w:tab/>
            <w:t>24</w:t>
          </w:r>
        </w:p>
        <w:p>
          <w:pPr>
            <w:pStyle w:val="TOC1"/>
            <w:tabs>
              <w:tab w:val="clear" w:pos="708"/>
              <w:tab w:val="right" w:pos="8503" w:leader="dot"/>
            </w:tabs>
            <w:rPr/>
          </w:pPr>
          <w:r>
            <w:rPr>
              <w:vanish w:val="false"/>
            </w:rPr>
            <w:t>12 Operadores Matemáticos</w:t>
            <w:tab/>
            <w:t>25</w:t>
          </w:r>
        </w:p>
        <w:p>
          <w:pPr>
            <w:pStyle w:val="TOC2"/>
            <w:tabs>
              <w:tab w:val="clear" w:pos="8494"/>
              <w:tab w:val="right" w:pos="8503" w:leader="dot"/>
            </w:tabs>
            <w:rPr/>
          </w:pPr>
          <w:r>
            <w:rPr>
              <w:vanish w:val="false"/>
            </w:rPr>
            <w:t>12.1 Operadores Matemáticos</w:t>
            <w:tab/>
            <w:t>25</w:t>
          </w:r>
        </w:p>
        <w:p>
          <w:pPr>
            <w:pStyle w:val="TOC3"/>
            <w:tabs>
              <w:tab w:val="clear" w:pos="708"/>
              <w:tab w:val="right" w:pos="8503" w:leader="dot"/>
            </w:tabs>
            <w:rPr/>
          </w:pPr>
          <w:r>
            <w:rPr>
              <w:vanish w:val="false"/>
            </w:rPr>
            <w:t>12.1.1 Operadores Matemáticos de Atribuição Composta</w:t>
            <w:tab/>
            <w:t>25</w:t>
          </w:r>
        </w:p>
        <w:p>
          <w:pPr>
            <w:pStyle w:val="TOC1"/>
            <w:tabs>
              <w:tab w:val="clear" w:pos="708"/>
              <w:tab w:val="right" w:pos="8503" w:leader="dot"/>
            </w:tabs>
            <w:rPr/>
          </w:pPr>
          <w:r>
            <w:rPr>
              <w:vanish w:val="false"/>
            </w:rPr>
            <w:t>13 Operadores Bitwise</w:t>
            <w:tab/>
            <w:t>26</w:t>
          </w:r>
        </w:p>
        <w:p>
          <w:pPr>
            <w:pStyle w:val="TOC2"/>
            <w:tabs>
              <w:tab w:val="clear" w:pos="8494"/>
              <w:tab w:val="right" w:pos="8503" w:leader="dot"/>
            </w:tabs>
            <w:rPr/>
          </w:pPr>
          <w:r>
            <w:rPr>
              <w:vanish w:val="false"/>
            </w:rPr>
            <w:t>13.1 Operadores bitwise</w:t>
            <w:tab/>
            <w:t>26</w:t>
          </w:r>
        </w:p>
        <w:p>
          <w:pPr>
            <w:pStyle w:val="TOC3"/>
            <w:tabs>
              <w:tab w:val="clear" w:pos="708"/>
              <w:tab w:val="right" w:pos="8503" w:leader="dot"/>
            </w:tabs>
            <w:rPr/>
          </w:pPr>
          <w:r>
            <w:rPr>
              <w:vanish w:val="false"/>
            </w:rPr>
            <w:t>13.2. Operadores bitwise de Atribuição Composta</w:t>
            <w:tab/>
            <w:t>26</w:t>
          </w:r>
        </w:p>
        <w:p>
          <w:pPr>
            <w:pStyle w:val="TOC1"/>
            <w:tabs>
              <w:tab w:val="clear" w:pos="708"/>
              <w:tab w:val="right" w:pos="8503" w:leader="dot"/>
            </w:tabs>
            <w:rPr/>
          </w:pPr>
          <w:r>
            <w:rPr>
              <w:vanish w:val="false"/>
            </w:rPr>
            <w:t>14 Operadores de Fluxo</w:t>
            <w:tab/>
            <w:t>27</w:t>
          </w:r>
        </w:p>
        <w:p>
          <w:pPr>
            <w:pStyle w:val="TOC2"/>
            <w:tabs>
              <w:tab w:val="clear" w:pos="8494"/>
              <w:tab w:val="right" w:pos="8503" w:leader="dot"/>
            </w:tabs>
            <w:rPr/>
          </w:pPr>
          <w:r>
            <w:rPr>
              <w:vanish w:val="false"/>
            </w:rPr>
            <w:t>14.1 Mecânica do Match</w:t>
            <w:tab/>
            <w:t>27</w:t>
          </w:r>
        </w:p>
        <w:p>
          <w:pPr>
            <w:pStyle w:val="TOC1"/>
            <w:tabs>
              <w:tab w:val="clear" w:pos="708"/>
              <w:tab w:val="right" w:pos="8503" w:leader="dot"/>
            </w:tabs>
            <w:rPr/>
          </w:pPr>
          <w:r>
            <w:rPr>
              <w:vanish w:val="false"/>
            </w:rPr>
            <w:t>15 Operadores de Acesso/Slice</w:t>
            <w:tab/>
            <w:t>28</w:t>
          </w:r>
        </w:p>
        <w:p>
          <w:pPr>
            <w:pStyle w:val="TOC1"/>
            <w:tabs>
              <w:tab w:val="clear" w:pos="708"/>
              <w:tab w:val="right" w:pos="8503" w:leader="dot"/>
            </w:tabs>
            <w:rPr/>
          </w:pPr>
          <w:r>
            <w:rPr>
              <w:vanish w:val="false"/>
            </w:rPr>
            <w:t>16 Operadores Relacionais</w:t>
            <w:tab/>
            <w:t>29</w:t>
          </w:r>
        </w:p>
        <w:p>
          <w:pPr>
            <w:pStyle w:val="TOC1"/>
            <w:tabs>
              <w:tab w:val="clear" w:pos="708"/>
              <w:tab w:val="right" w:pos="8503" w:leader="dot"/>
            </w:tabs>
            <w:rPr/>
          </w:pPr>
          <w:r>
            <w:rPr>
              <w:vanish w:val="false"/>
            </w:rPr>
            <w:t>17 Representação de Identificador de dados</w:t>
            <w:tab/>
            <w:t>30</w:t>
          </w:r>
        </w:p>
        <w:p>
          <w:pPr>
            <w:pStyle w:val="TOC2"/>
            <w:tabs>
              <w:tab w:val="clear" w:pos="8494"/>
              <w:tab w:val="right" w:pos="8503" w:leader="dot"/>
            </w:tabs>
            <w:rPr/>
          </w:pPr>
          <w:r>
            <w:rPr>
              <w:vanish w:val="false"/>
            </w:rPr>
            <w:t>17.1 Sistema de Mutabilidade</w:t>
            <w:tab/>
            <w:t>30</w:t>
          </w:r>
        </w:p>
        <w:p>
          <w:pPr>
            <w:pStyle w:val="TOC3"/>
            <w:tabs>
              <w:tab w:val="clear" w:pos="708"/>
              <w:tab w:val="right" w:pos="8503" w:leader="dot"/>
            </w:tabs>
            <w:rPr/>
          </w:pPr>
          <w:r>
            <w:rPr>
              <w:vanish w:val="false"/>
            </w:rPr>
            <w:t>17.1.1 imut (Imutável – SCREAMING_SNAKE)</w:t>
            <w:tab/>
            <w:t>30</w:t>
          </w:r>
        </w:p>
        <w:p>
          <w:pPr>
            <w:pStyle w:val="TOC3"/>
            <w:tabs>
              <w:tab w:val="clear" w:pos="708"/>
              <w:tab w:val="right" w:pos="8503" w:leader="dot"/>
            </w:tabs>
            <w:rPr/>
          </w:pPr>
          <w:r>
            <w:rPr>
              <w:vanish w:val="false"/>
            </w:rPr>
            <w:t>17.1.2 mut (Mutável – snake_case)</w:t>
            <w:tab/>
            <w:t>30</w:t>
          </w:r>
        </w:p>
        <w:p>
          <w:pPr>
            <w:pStyle w:val="TOC2"/>
            <w:tabs>
              <w:tab w:val="clear" w:pos="8494"/>
              <w:tab w:val="right" w:pos="8503" w:leader="dot"/>
            </w:tabs>
            <w:rPr/>
          </w:pPr>
          <w:r>
            <w:rPr>
              <w:vanish w:val="false"/>
            </w:rPr>
            <w:t>17.2 Sistema de Tipo (Híbrido e Gradual)</w:t>
            <w:tab/>
            <w:t>30</w:t>
          </w:r>
        </w:p>
        <w:p>
          <w:pPr>
            <w:pStyle w:val="TOC3"/>
            <w:tabs>
              <w:tab w:val="clear" w:pos="708"/>
              <w:tab w:val="right" w:pos="8503" w:leader="dot"/>
            </w:tabs>
            <w:rPr/>
          </w:pPr>
          <w:r>
            <w:rPr>
              <w:vanish w:val="false"/>
            </w:rPr>
            <w:t>17.2.1 Declaração Explícita</w:t>
            <w:tab/>
            <w:t>31</w:t>
          </w:r>
        </w:p>
        <w:p>
          <w:pPr>
            <w:pStyle w:val="TOC3"/>
            <w:tabs>
              <w:tab w:val="clear" w:pos="708"/>
              <w:tab w:val="right" w:pos="8503" w:leader="dot"/>
            </w:tabs>
            <w:rPr/>
          </w:pPr>
          <w:r>
            <w:rPr>
              <w:vanish w:val="false"/>
            </w:rPr>
            <w:t>17.2.2 Inferência Automática</w:t>
            <w:tab/>
            <w:t>31</w:t>
          </w:r>
        </w:p>
        <w:p>
          <w:pPr>
            <w:pStyle w:val="TOC3"/>
            <w:tabs>
              <w:tab w:val="clear" w:pos="708"/>
              <w:tab w:val="right" w:pos="8503" w:leader="dot"/>
            </w:tabs>
            <w:rPr/>
          </w:pPr>
          <w:r>
            <w:rPr>
              <w:vanish w:val="false"/>
            </w:rPr>
            <w:t>17.2.3 Tipagem em Funções e Structs</w:t>
            <w:tab/>
            <w:t>31</w:t>
          </w:r>
        </w:p>
        <w:p>
          <w:pPr>
            <w:pStyle w:val="TOC2"/>
            <w:tabs>
              <w:tab w:val="clear" w:pos="8494"/>
              <w:tab w:val="right" w:pos="8503" w:leader="dot"/>
            </w:tabs>
            <w:rPr/>
          </w:pPr>
          <w:r>
            <w:rPr>
              <w:vanish w:val="false"/>
            </w:rPr>
            <w:t>17.3 Shape</w:t>
            <w:tab/>
            <w:t>31</w:t>
          </w:r>
        </w:p>
        <w:p>
          <w:pPr>
            <w:pStyle w:val="TOC3"/>
            <w:tabs>
              <w:tab w:val="clear" w:pos="708"/>
              <w:tab w:val="right" w:pos="8503" w:leader="dot"/>
            </w:tabs>
            <w:rPr/>
          </w:pPr>
          <w:r>
            <w:rPr>
              <w:vanish w:val="false"/>
            </w:rPr>
            <w:t>17.3.1 Shape Estática (compile time)</w:t>
            <w:tab/>
            <w:t>31</w:t>
          </w:r>
        </w:p>
        <w:p>
          <w:pPr>
            <w:pStyle w:val="TOC3"/>
            <w:tabs>
              <w:tab w:val="clear" w:pos="708"/>
              <w:tab w:val="right" w:pos="8503" w:leader="dot"/>
            </w:tabs>
            <w:rPr/>
          </w:pPr>
          <w:r>
            <w:rPr>
              <w:vanish w:val="false"/>
            </w:rPr>
            <w:t>17.3.2 Dinâmico Estática (runtime)</w:t>
            <w:tab/>
            <w:t>31</w:t>
          </w:r>
        </w:p>
        <w:p>
          <w:pPr>
            <w:pStyle w:val="TOC2"/>
            <w:tabs>
              <w:tab w:val="clear" w:pos="8494"/>
              <w:tab w:val="right" w:pos="8503" w:leader="dot"/>
            </w:tabs>
            <w:rPr/>
          </w:pPr>
          <w:r>
            <w:rPr>
              <w:vanish w:val="false"/>
            </w:rPr>
            <w:t>17.4 Atribuição Inicial</w:t>
            <w:tab/>
            <w:t>31</w:t>
          </w:r>
        </w:p>
        <w:p>
          <w:pPr>
            <w:pStyle w:val="TOC1"/>
            <w:tabs>
              <w:tab w:val="clear" w:pos="708"/>
              <w:tab w:val="right" w:pos="8503" w:leader="dot"/>
            </w:tabs>
            <w:rPr/>
          </w:pPr>
          <w:r>
            <w:rPr>
              <w:vanish w:val="false"/>
            </w:rPr>
            <w:t>18 Promoção, Coerção e Broadcasting</w:t>
            <w:tab/>
            <w:t>33</w:t>
          </w:r>
        </w:p>
        <w:p>
          <w:pPr>
            <w:pStyle w:val="TOC2"/>
            <w:tabs>
              <w:tab w:val="clear" w:pos="8494"/>
              <w:tab w:val="right" w:pos="8503" w:leader="dot"/>
            </w:tabs>
            <w:rPr/>
          </w:pPr>
          <w:r>
            <w:rPr>
              <w:vanish w:val="false"/>
            </w:rPr>
            <w:t>18.1 Promoção Automática (Widening)</w:t>
            <w:tab/>
            <w:t>33</w:t>
          </w:r>
        </w:p>
        <w:p>
          <w:pPr>
            <w:pStyle w:val="TOC2"/>
            <w:tabs>
              <w:tab w:val="clear" w:pos="8494"/>
              <w:tab w:val="right" w:pos="8503" w:leader="dot"/>
            </w:tabs>
            <w:rPr/>
          </w:pPr>
          <w:r>
            <w:rPr>
              <w:vanish w:val="false"/>
            </w:rPr>
            <w:t>18.2 Coerção Explícita (Narrowing/Casting)</w:t>
            <w:tab/>
            <w:t>33</w:t>
          </w:r>
        </w:p>
        <w:p>
          <w:pPr>
            <w:pStyle w:val="TOC2"/>
            <w:tabs>
              <w:tab w:val="clear" w:pos="8494"/>
              <w:tab w:val="right" w:pos="8503" w:leader="dot"/>
            </w:tabs>
            <w:rPr/>
          </w:pPr>
          <w:r>
            <w:rPr>
              <w:vanish w:val="false"/>
            </w:rPr>
            <w:t>18.3 Broadcasting</w:t>
            <w:tab/>
            <w:t>33</w:t>
          </w:r>
        </w:p>
        <w:p>
          <w:pPr>
            <w:pStyle w:val="TOC1"/>
            <w:tabs>
              <w:tab w:val="clear" w:pos="708"/>
              <w:tab w:val="right" w:pos="8503" w:leader="dot"/>
            </w:tabs>
            <w:rPr/>
          </w:pPr>
          <w:r>
            <w:rPr>
              <w:vanish w:val="false"/>
            </w:rPr>
            <w:t>19 Keywords da Linguagem</w:t>
            <w:tab/>
            <w:t>34</w:t>
          </w:r>
        </w:p>
        <w:p>
          <w:pPr>
            <w:pStyle w:val="TOC2"/>
            <w:tabs>
              <w:tab w:val="clear" w:pos="8494"/>
              <w:tab w:val="right" w:pos="8503" w:leader="dot"/>
            </w:tabs>
            <w:rPr/>
          </w:pPr>
          <w:r>
            <w:rPr>
              <w:vanish w:val="false"/>
            </w:rPr>
            <w:t>19.1 Apresentação Geral dos Domínios Arquiteturais</w:t>
            <w:tab/>
            <w:t>34</w:t>
          </w:r>
        </w:p>
        <w:p>
          <w:pPr>
            <w:pStyle w:val="TOC3"/>
            <w:tabs>
              <w:tab w:val="clear" w:pos="708"/>
              <w:tab w:val="right" w:pos="8503" w:leader="dot"/>
            </w:tabs>
            <w:rPr/>
          </w:pPr>
          <w:r>
            <w:rPr>
              <w:vanish w:val="false"/>
            </w:rPr>
            <w:t>19.1.1 Orquestração Global e Metaprogramação</w:t>
            <w:tab/>
            <w:t>34</w:t>
          </w:r>
        </w:p>
        <w:p>
          <w:pPr>
            <w:pStyle w:val="TOC3"/>
            <w:tabs>
              <w:tab w:val="clear" w:pos="708"/>
              <w:tab w:val="right" w:pos="8503" w:leader="dot"/>
            </w:tabs>
            <w:rPr/>
          </w:pPr>
          <w:r>
            <w:rPr>
              <w:vanish w:val="false"/>
            </w:rPr>
            <w:t>19.1.2 Entrada/Saída (I/O) e Sensores de Estado</w:t>
            <w:tab/>
            <w:t>35</w:t>
          </w:r>
        </w:p>
        <w:p>
          <w:pPr>
            <w:pStyle w:val="TOC3"/>
            <w:tabs>
              <w:tab w:val="clear" w:pos="708"/>
              <w:tab w:val="right" w:pos="8503" w:leader="dot"/>
            </w:tabs>
            <w:rPr/>
          </w:pPr>
          <w:r>
            <w:rPr>
              <w:vanish w:val="false"/>
            </w:rPr>
            <w:t>19.1.3 Expressão e Álgebra Booleana e Literais</w:t>
            <w:tab/>
            <w:t>36</w:t>
          </w:r>
        </w:p>
        <w:p>
          <w:pPr>
            <w:pStyle w:val="TOC3"/>
            <w:tabs>
              <w:tab w:val="clear" w:pos="708"/>
              <w:tab w:val="right" w:pos="8503" w:leader="dot"/>
            </w:tabs>
            <w:rPr/>
          </w:pPr>
          <w:r>
            <w:rPr>
              <w:vanish w:val="false"/>
            </w:rPr>
            <w:t>19.1.4 Controle de Fluxo Imperativo</w:t>
            <w:tab/>
            <w:t>37</w:t>
          </w:r>
        </w:p>
        <w:p>
          <w:pPr>
            <w:pStyle w:val="TOC3"/>
            <w:tabs>
              <w:tab w:val="clear" w:pos="708"/>
              <w:tab w:val="right" w:pos="8503" w:leader="dot"/>
            </w:tabs>
            <w:rPr/>
          </w:pPr>
          <w:r>
            <w:rPr>
              <w:vanish w:val="false"/>
            </w:rPr>
            <w:t>19.1.5 Resiliência e Casamento de Padrões</w:t>
            <w:tab/>
            <w:t>37</w:t>
          </w:r>
        </w:p>
        <w:p>
          <w:pPr>
            <w:pStyle w:val="TOC3"/>
            <w:tabs>
              <w:tab w:val="clear" w:pos="708"/>
              <w:tab w:val="right" w:pos="8503" w:leader="dot"/>
            </w:tabs>
            <w:rPr/>
          </w:pPr>
          <w:r>
            <w:rPr>
              <w:vanish w:val="false"/>
            </w:rPr>
            <w:t>19.1.6 Estruturação, Tipos e Contratos</w:t>
            <w:tab/>
            <w:t>38</w:t>
          </w:r>
        </w:p>
        <w:p>
          <w:pPr>
            <w:pStyle w:val="TOC3"/>
            <w:tabs>
              <w:tab w:val="clear" w:pos="708"/>
              <w:tab w:val="right" w:pos="8503" w:leader="dot"/>
            </w:tabs>
            <w:rPr/>
          </w:pPr>
          <w:r>
            <w:rPr>
              <w:vanish w:val="false"/>
            </w:rPr>
            <w:t>19.1.7 Ciclo de Vida e Segurança de Memória</w:t>
            <w:tab/>
            <w:t>39</w:t>
          </w:r>
        </w:p>
        <w:p>
          <w:pPr>
            <w:pStyle w:val="TOC3"/>
            <w:tabs>
              <w:tab w:val="clear" w:pos="708"/>
              <w:tab w:val="right" w:pos="8503" w:leader="dot"/>
            </w:tabs>
            <w:rPr/>
          </w:pPr>
          <w:r>
            <w:rPr>
              <w:vanish w:val="false"/>
            </w:rPr>
            <w:t>19.1.8 Topologia de Grafos e Concorrência (Dataflow)</w:t>
            <w:tab/>
            <w:t>39</w:t>
          </w:r>
        </w:p>
        <w:p>
          <w:pPr>
            <w:pStyle w:val="TOC3"/>
            <w:tabs>
              <w:tab w:val="clear" w:pos="708"/>
              <w:tab w:val="right" w:pos="8503" w:leader="dot"/>
            </w:tabs>
            <w:rPr/>
          </w:pPr>
          <w:r>
            <w:rPr>
              <w:vanish w:val="false"/>
            </w:rPr>
            <w:t>19.1.9 Tipos Compostos e Conjuntos</w:t>
            <w:tab/>
            <w:t>40</w:t>
          </w:r>
        </w:p>
        <w:p>
          <w:pPr>
            <w:pStyle w:val="TOC1"/>
            <w:tabs>
              <w:tab w:val="clear" w:pos="708"/>
              <w:tab w:val="right" w:pos="8503" w:leader="dot"/>
            </w:tabs>
            <w:rPr/>
          </w:pPr>
          <w:r>
            <w:rPr>
              <w:vanish w:val="false"/>
            </w:rPr>
            <w:t>20 Diretrizes de Governança e Rastreabilidade</w:t>
            <w:tab/>
            <w:t>41</w:t>
          </w:r>
        </w:p>
        <w:p>
          <w:pPr>
            <w:pStyle w:val="TOC1"/>
            <w:tabs>
              <w:tab w:val="clear" w:pos="708"/>
              <w:tab w:val="right" w:pos="8503" w:leader="dot"/>
            </w:tabs>
            <w:rPr/>
          </w:pPr>
          <w:r>
            <w:rPr>
              <w:vanish w:val="false"/>
            </w:rPr>
            <w:t>21 ROADMAP</w:t>
            <w:tab/>
            <w:t>42</w:t>
          </w:r>
          <w:r>
            <w:rPr>
              <w:vanish w:val="false"/>
            </w:rPr>
            <w:fldChar w:fldCharType="end"/>
          </w:r>
        </w:p>
      </w:sdtContent>
    </w:sdt>
    <w:p>
      <w:pPr>
        <w:pStyle w:val="TOC2"/>
        <w:tabs>
          <w:tab w:val="clear" w:pos="8494"/>
          <w:tab w:val="right" w:pos="8503" w:leader="dot"/>
        </w:tabs>
        <w:ind w:hanging="0" w:left="0"/>
        <w:rPr>
          <w:b/>
          <w:bCs/>
          <w:sz w:val="24"/>
          <w:szCs w:val="24"/>
        </w:rPr>
      </w:pPr>
      <w:r>
        <w:rPr>
          <w:b/>
          <w:bCs/>
          <w:sz w:val="24"/>
          <w:szCs w:val="24"/>
        </w:rPr>
      </w:r>
    </w:p>
    <w:p>
      <w:pPr>
        <w:pStyle w:val="Normal"/>
        <w:rPr>
          <w:b/>
          <w:bCs/>
        </w:rPr>
      </w:pPr>
      <w:r>
        <w:rPr>
          <w:b/>
          <w:bCs/>
        </w:rPr>
      </w:r>
    </w:p>
    <w:p>
      <w:pPr>
        <w:pStyle w:val="Normal"/>
        <w:rPr>
          <w:b/>
          <w:bCs/>
        </w:rPr>
      </w:pPr>
      <w:r>
        <w:rPr>
          <w:b/>
          <w:bCs/>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 name="Forma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0" w:name="__RefHeading___Toc8326_3056492648"/>
      <w:bookmarkStart w:id="1" w:name="_Toc230559698"/>
      <w:bookmarkStart w:id="2" w:name="_Toc229957212"/>
      <w:bookmarkEnd w:id="0"/>
      <w:r>
        <w:rPr>
          <w:rFonts w:cs="Arial" w:ascii="Arial" w:hAnsi="Arial"/>
          <w:b/>
          <w:bCs/>
        </w:rPr>
        <w:t>1 Introdução</w:t>
      </w:r>
      <w:bookmarkEnd w:id="1"/>
      <w:bookmarkEnd w:id="2"/>
    </w:p>
    <w:p>
      <w:pPr>
        <w:pStyle w:val="Normal"/>
        <w:spacing w:lineRule="auto" w:line="276" w:before="0" w:after="0"/>
        <w:ind w:firstLine="567"/>
        <w:contextualSpacing/>
        <w:jc w:val="both"/>
        <w:rPr/>
      </w:pPr>
      <w:r>
        <w:rPr/>
        <w:t xml:space="preserve">A </w:t>
      </w:r>
      <w:r>
        <w:rPr>
          <w:b/>
          <w:bCs/>
        </w:rPr>
        <w:t xml:space="preserve">FLUX </w:t>
      </w:r>
      <w:r>
        <w:rPr/>
        <w:t xml:space="preserve">é uma linguagem de programação multipropósito fundamentada no paradigma de fluxo de dados (Dataflow) semântico e estendida adaptativamente por intermédio de </w:t>
      </w:r>
      <w:r>
        <w:rPr>
          <w:i/>
          <w:iCs/>
        </w:rPr>
        <w:t>agent</w:t>
      </w:r>
      <w:r>
        <w:rPr/>
        <w:t xml:space="preserve">s de contexto especializados. O design da linguagem foi concebido para convergir simplicidade sintática, pipelines explícitas de dados, computação científica de alto desempenho (HPC), processamento massivamente paralelo, inteligência artificial, interoperabilidade agnóstica de hardware, gerenciamento automatizado de memória e execução guiada pela semântica de </w:t>
      </w:r>
      <w:r>
        <w:rPr>
          <w:i/>
          <w:iCs/>
        </w:rPr>
        <w:t>agent</w:t>
      </w:r>
      <w:r>
        <w:rPr/>
        <w:t>s.</w:t>
      </w:r>
    </w:p>
    <w:p>
      <w:pPr>
        <w:pStyle w:val="Normal"/>
        <w:spacing w:lineRule="auto" w:line="276" w:before="0" w:after="0"/>
        <w:ind w:firstLine="567"/>
        <w:contextualSpacing/>
        <w:jc w:val="both"/>
        <w:rPr/>
      </w:pPr>
      <w:r>
        <w:rPr/>
        <w:t xml:space="preserve">A filosofia arquitetural da </w:t>
      </w:r>
      <w:r>
        <w:rPr>
          <w:b/>
          <w:bCs/>
        </w:rPr>
        <w:t xml:space="preserve">FLUX </w:t>
      </w:r>
      <w:r>
        <w:rPr/>
        <w:t xml:space="preserve">estabelece uma separação rígida de responsabilidades: o </w:t>
      </w:r>
      <w:r>
        <w:rPr>
          <w:i/>
          <w:iCs/>
        </w:rPr>
        <w:t>kernel</w:t>
      </w:r>
      <w:r>
        <w:rPr/>
        <w:t xml:space="preserve"> atua estritamente na orquestração e na movimentação física dos dados, enquanto os </w:t>
      </w:r>
      <w:r>
        <w:rPr>
          <w:i/>
          <w:iCs/>
        </w:rPr>
        <w:t>agent</w:t>
      </w:r>
      <w:r>
        <w:rPr/>
        <w:t xml:space="preserve">s interpretam e executam a semântica de domínio. Dessa forma, o </w:t>
      </w:r>
      <w:r>
        <w:rPr>
          <w:i/>
          <w:iCs/>
        </w:rPr>
        <w:t>kernel</w:t>
      </w:r>
      <w:r>
        <w:rPr/>
        <w:t xml:space="preserve"> adota uma abordagem minimalista (semelhante a um </w:t>
      </w:r>
      <w:r>
        <w:rPr>
          <w:i/>
          <w:iCs/>
        </w:rPr>
        <w:t>microkernel</w:t>
      </w:r>
      <w:r>
        <w:rPr/>
        <w:t xml:space="preserve">), mantendo uma árvore de sintaxe abstrata (AST) enxuta que processa apenas operações aritméticas elementares, lógica de comparação, controle de fluxo primitivo e operações essenciais de entrada/saída (I/O). Toda a semântica especializada e as otimizações específicas de domínio são delegadas inteiramente aos </w:t>
      </w:r>
      <w:r>
        <w:rPr>
          <w:i/>
          <w:iCs/>
        </w:rPr>
        <w:t>agent</w:t>
      </w:r>
      <w:r>
        <w:rPr/>
        <w:t>s.</w:t>
      </w:r>
    </w:p>
    <w:p>
      <w:pPr>
        <w:pStyle w:val="Normal"/>
        <w:spacing w:lineRule="auto" w:line="276" w:before="0" w:after="0"/>
        <w:ind w:firstLine="567"/>
        <w:contextualSpacing/>
        <w:jc w:val="both"/>
        <w:rPr/>
      </w:pPr>
      <w:r>
        <w:rPr/>
        <w:t xml:space="preserve">Consequentemente, a </w:t>
      </w:r>
      <w:r>
        <w:rPr>
          <w:b/>
          <w:bCs/>
        </w:rPr>
        <w:t xml:space="preserve">FLUX </w:t>
      </w:r>
      <w:r>
        <w:rPr/>
        <w:t>transcende o modelo puramente procedural, consolidando-se como um ecossistema computacional dinâmico fundamentado em grafos de transformação contínua de fluxo.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before="0" w:after="0"/>
        <w:rPr/>
      </w:pPr>
      <w:bookmarkStart w:id="3" w:name="__RefHeading___Toc8450_3056492648"/>
      <w:bookmarkStart w:id="4" w:name="_Toc230559762"/>
      <w:bookmarkStart w:id="5" w:name="_Toc229957297"/>
      <w:bookmarkEnd w:id="3"/>
      <w:r>
        <w:rPr>
          <w:rFonts w:cs="Arial" w:ascii="Arial" w:hAnsi="Arial"/>
        </w:rPr>
        <w:t>1.1 Objetivos da Linguagem</w:t>
      </w:r>
      <w:bookmarkEnd w:id="4"/>
      <w:bookmarkEnd w:id="5"/>
    </w:p>
    <w:p>
      <w:pPr>
        <w:pStyle w:val="Normal"/>
        <w:spacing w:lineRule="auto" w:line="276" w:before="0" w:after="0"/>
        <w:ind w:firstLine="567"/>
        <w:contextualSpacing/>
        <w:jc w:val="both"/>
        <w:rPr/>
      </w:pPr>
      <w:r>
        <w:rPr/>
        <w:t xml:space="preserve">A arquitetura da </w:t>
      </w:r>
      <w:r>
        <w:rPr>
          <w:b/>
          <w:bCs/>
        </w:rPr>
        <w:t xml:space="preserve">FLUX </w:t>
      </w:r>
      <w:r>
        <w:rPr/>
        <w:t xml:space="preserve">é fundamentada em diretrizes de </w:t>
      </w:r>
      <w:r>
        <w:rPr>
          <w:i/>
          <w:iCs/>
        </w:rPr>
        <w:t>design</w:t>
      </w:r>
      <w:r>
        <w:rPr/>
        <w:t xml:space="preserve"> que priorizam a simetria entre a representação mental do modelo e a execução física no </w:t>
      </w:r>
      <w:r>
        <w:rPr>
          <w:i/>
          <w:iCs/>
        </w:rPr>
        <w:t>hardware</w:t>
      </w:r>
      <w:r>
        <w:rPr/>
        <w:t>. A linguagem consolida as vantagens do alto nível sem sacrificar o controle sistêmico.</w:t>
      </w:r>
    </w:p>
    <w:p>
      <w:pPr>
        <w:pStyle w:val="Normal"/>
        <w:spacing w:lineRule="auto" w:line="276" w:before="0" w:after="0"/>
        <w:contextualSpacing/>
        <w:jc w:val="both"/>
        <w:rPr/>
      </w:pPr>
      <w:r>
        <w:rPr/>
      </w:r>
    </w:p>
    <w:p>
      <w:pPr>
        <w:pStyle w:val="Heading3"/>
        <w:spacing w:before="0" w:after="0"/>
        <w:rPr>
          <w:i/>
          <w:iCs/>
        </w:rPr>
      </w:pPr>
      <w:bookmarkStart w:id="6" w:name="__RefHeading___Toc8452_3056492648"/>
      <w:bookmarkStart w:id="7" w:name="_Toc230559763"/>
      <w:bookmarkStart w:id="8" w:name="_Toc229957298"/>
      <w:bookmarkEnd w:id="6"/>
      <w:r>
        <w:rPr>
          <w:rFonts w:cs="Arial" w:ascii="Arial" w:hAnsi="Arial"/>
          <w:i/>
          <w:iCs/>
        </w:rPr>
        <w:t>1.1.1 Diretrizes Arquiteturais (Objetivos Principais)</w:t>
      </w:r>
      <w:bookmarkEnd w:id="7"/>
      <w:bookmarkEnd w:id="8"/>
    </w:p>
    <w:p>
      <w:pPr>
        <w:pStyle w:val="Normal"/>
        <w:numPr>
          <w:ilvl w:val="0"/>
          <w:numId w:val="17"/>
        </w:numPr>
        <w:spacing w:lineRule="auto" w:line="276" w:before="0" w:after="0"/>
        <w:contextualSpacing/>
        <w:jc w:val="both"/>
        <w:rPr/>
      </w:pPr>
      <w:r>
        <w:rPr>
          <w:b/>
          <w:bCs/>
        </w:rPr>
        <w:t>Ergonomia Sintática (</w:t>
      </w:r>
      <w:r>
        <w:rPr>
          <w:b/>
          <w:bCs/>
          <w:i/>
          <w:iCs/>
        </w:rPr>
        <w:t>Clareza Humana</w:t>
      </w:r>
      <w:r>
        <w:rPr>
          <w:b/>
          <w:bCs/>
        </w:rPr>
        <w:t>):</w:t>
      </w:r>
      <w:r>
        <w:rPr/>
        <w:t xml:space="preserve"> Redução da carga cognitiva por intermédio de uma gramática direta e legível, isenta de ruídos estruturais tradicionais.</w:t>
      </w:r>
    </w:p>
    <w:p>
      <w:pPr>
        <w:pStyle w:val="Normal"/>
        <w:numPr>
          <w:ilvl w:val="0"/>
          <w:numId w:val="17"/>
        </w:numPr>
        <w:spacing w:lineRule="auto" w:line="276" w:before="0" w:after="0"/>
        <w:contextualSpacing/>
        <w:jc w:val="both"/>
        <w:rPr/>
      </w:pPr>
      <w:r>
        <w:rPr>
          <w:b/>
          <w:bCs/>
        </w:rPr>
        <w:t>Determinismo (</w:t>
      </w:r>
      <w:r>
        <w:rPr>
          <w:b/>
          <w:bCs/>
          <w:i/>
          <w:iCs/>
        </w:rPr>
        <w:t>Previsibilidade</w:t>
      </w:r>
      <w:r>
        <w:rPr>
          <w:b/>
          <w:bCs/>
        </w:rPr>
        <w:t>):</w:t>
      </w:r>
      <w:r>
        <w:rPr/>
        <w:t xml:space="preserve"> Garantia de comportamento reprodutível sem efeitos colaterais ocultos, viabilizado por regras rígidas de mutabilidade e alocação.</w:t>
      </w:r>
    </w:p>
    <w:p>
      <w:pPr>
        <w:pStyle w:val="Normal"/>
        <w:numPr>
          <w:ilvl w:val="0"/>
          <w:numId w:val="17"/>
        </w:numPr>
        <w:spacing w:lineRule="auto" w:line="276" w:before="0" w:after="0"/>
        <w:contextualSpacing/>
        <w:jc w:val="both"/>
        <w:rPr/>
      </w:pPr>
      <w:r>
        <w:rPr>
          <w:b/>
          <w:bCs/>
        </w:rPr>
        <w:t>Minimalismo da AST (</w:t>
      </w:r>
      <w:r>
        <w:rPr>
          <w:b/>
          <w:bCs/>
          <w:i/>
          <w:iCs/>
        </w:rPr>
        <w:t>Simplicidade Estrutural</w:t>
      </w:r>
      <w:r>
        <w:rPr>
          <w:b/>
          <w:bCs/>
        </w:rPr>
        <w:t>):</w:t>
      </w:r>
      <w:r>
        <w:rPr/>
        <w:t xml:space="preserve"> Núcleo de linguagem construído sob os princípios de </w:t>
      </w:r>
      <w:r>
        <w:rPr>
          <w:i/>
          <w:iCs/>
        </w:rPr>
        <w:t>microkernel</w:t>
      </w:r>
      <w:r>
        <w:rPr/>
        <w:t>, com foco estrito na movimentação primária de dados.</w:t>
      </w:r>
    </w:p>
    <w:p>
      <w:pPr>
        <w:pStyle w:val="Normal"/>
        <w:numPr>
          <w:ilvl w:val="0"/>
          <w:numId w:val="17"/>
        </w:numPr>
        <w:spacing w:lineRule="auto" w:line="276" w:before="0" w:after="0"/>
        <w:contextualSpacing/>
        <w:jc w:val="both"/>
        <w:rPr/>
      </w:pPr>
      <w:r>
        <w:rPr>
          <w:b/>
          <w:bCs/>
        </w:rPr>
        <w:t>Topologia de Grafo Transparente (</w:t>
      </w:r>
      <w:r>
        <w:rPr>
          <w:b/>
          <w:bCs/>
          <w:i/>
          <w:iCs/>
        </w:rPr>
        <w:t>Fluxo Explícito</w:t>
      </w:r>
      <w:r>
        <w:rPr>
          <w:b/>
          <w:bCs/>
        </w:rPr>
        <w:t>):</w:t>
      </w:r>
      <w:r>
        <w:rPr/>
        <w:t xml:space="preserve"> O encadeamento de transformações é exposto nativamente no código-fonte, evitando lógicas de controle ofuscadas e garantindo que o fluxo não seja escondido da arquitetura computacional. O paradigma de fluxo de dados é a essência fundamental do compilador.</w:t>
      </w:r>
    </w:p>
    <w:p>
      <w:pPr>
        <w:pStyle w:val="Normal"/>
        <w:numPr>
          <w:ilvl w:val="0"/>
          <w:numId w:val="17"/>
        </w:numPr>
        <w:spacing w:lineRule="auto" w:line="276" w:before="0" w:after="0"/>
        <w:contextualSpacing/>
        <w:jc w:val="both"/>
        <w:rPr/>
      </w:pPr>
      <w:r>
        <w:rPr>
          <w:b/>
          <w:bCs/>
        </w:rPr>
        <w:t>Extensibilidade Isolada (</w:t>
      </w:r>
      <w:r>
        <w:rPr>
          <w:b/>
          <w:bCs/>
          <w:i/>
          <w:iCs/>
        </w:rPr>
        <w:t>Semântica Desacoplada</w:t>
      </w:r>
      <w:r>
        <w:rPr>
          <w:b/>
          <w:bCs/>
        </w:rPr>
        <w:t>):</w:t>
      </w:r>
      <w:r>
        <w:rPr/>
        <w:t xml:space="preserve"> Delegação integral da lógica de domínio para sub-linguagens (</w:t>
      </w:r>
      <w:r>
        <w:rPr>
          <w:i/>
          <w:iCs/>
        </w:rPr>
        <w:t>DSLs</w:t>
      </w:r>
      <w:r>
        <w:rPr/>
        <w:t>), blindando o compilador principal contra o inchaço técnico (</w:t>
      </w:r>
      <w:r>
        <w:rPr>
          <w:i/>
          <w:iCs/>
        </w:rPr>
        <w:t>bloatware</w:t>
      </w:r>
      <w:r>
        <w:rPr/>
        <w:t>).</w:t>
      </w:r>
    </w:p>
    <w:p>
      <w:pPr>
        <w:pStyle w:val="Normal"/>
        <w:numPr>
          <w:ilvl w:val="0"/>
          <w:numId w:val="17"/>
        </w:numPr>
        <w:spacing w:lineRule="auto" w:line="276" w:before="0" w:after="0"/>
        <w:contextualSpacing/>
        <w:jc w:val="both"/>
        <w:rPr/>
      </w:pPr>
      <w:r>
        <w:rPr>
          <w:b/>
          <w:bCs/>
        </w:rPr>
        <w:t>Otimização Direta (</w:t>
      </w:r>
      <w:r>
        <w:rPr>
          <w:b/>
          <w:bCs/>
          <w:i/>
          <w:iCs/>
        </w:rPr>
        <w:t>Alta Performance</w:t>
      </w:r>
      <w:r>
        <w:rPr>
          <w:b/>
          <w:bCs/>
        </w:rPr>
        <w:t>):</w:t>
      </w:r>
      <w:r>
        <w:rPr/>
        <w:t xml:space="preserve"> Geração de código de baixo nível (</w:t>
      </w:r>
      <w:r>
        <w:rPr>
          <w:i/>
          <w:iCs/>
        </w:rPr>
        <w:t>lowering</w:t>
      </w:r>
      <w:r>
        <w:rPr/>
        <w:t>) baseada em abstrações de custo zero, estruturada para explorar a capacidade máxima de execução vetorial do processador.</w:t>
      </w:r>
    </w:p>
    <w:p>
      <w:pPr>
        <w:pStyle w:val="Normal"/>
        <w:numPr>
          <w:ilvl w:val="0"/>
          <w:numId w:val="17"/>
        </w:numPr>
        <w:spacing w:lineRule="auto" w:line="276" w:before="0" w:after="0"/>
        <w:contextualSpacing/>
        <w:jc w:val="both"/>
        <w:rPr/>
      </w:pPr>
      <w:r>
        <w:rPr>
          <w:b/>
          <w:bCs/>
        </w:rPr>
        <w:t>Gestão via Liveness (</w:t>
      </w:r>
      <w:r>
        <w:rPr>
          <w:b/>
          <w:bCs/>
          <w:i/>
          <w:iCs/>
        </w:rPr>
        <w:t>Gerenciamento Automático</w:t>
      </w:r>
      <w:r>
        <w:rPr>
          <w:b/>
          <w:bCs/>
        </w:rPr>
        <w:t>):</w:t>
      </w:r>
      <w:r>
        <w:rPr/>
        <w:t xml:space="preserve"> Inferência topológica do tempo de vida físico da memória, eliminando pausas arbitrárias do tempo de execução (</w:t>
      </w:r>
      <w:r>
        <w:rPr>
          <w:i/>
          <w:iCs/>
        </w:rPr>
        <w:t>runtime</w:t>
      </w:r>
      <w:r>
        <w:rPr/>
        <w:t>).</w:t>
      </w:r>
    </w:p>
    <w:p>
      <w:pPr>
        <w:pStyle w:val="Normal"/>
        <w:spacing w:lineRule="auto" w:line="276" w:before="0" w:after="0"/>
        <w:contextualSpacing/>
        <w:jc w:val="both"/>
        <w:rPr>
          <w:b/>
          <w:bCs/>
        </w:rPr>
      </w:pPr>
      <w:r>
        <w:rPr>
          <w:b/>
          <w:bCs/>
        </w:rPr>
      </w:r>
    </w:p>
    <w:p>
      <w:pPr>
        <w:pStyle w:val="Heading3"/>
        <w:spacing w:before="0" w:after="0"/>
        <w:rPr>
          <w:i/>
          <w:iCs/>
        </w:rPr>
      </w:pPr>
      <w:bookmarkStart w:id="9" w:name="__RefHeading___Toc8454_3056492648"/>
      <w:bookmarkStart w:id="10" w:name="_Toc230559764"/>
      <w:bookmarkStart w:id="11" w:name="_Toc229957299"/>
      <w:bookmarkEnd w:id="9"/>
      <w:r>
        <w:rPr>
          <w:rFonts w:cs="Arial" w:ascii="Arial" w:hAnsi="Arial"/>
          <w:i/>
          <w:iCs/>
        </w:rPr>
        <w:t>1.1.2 Domínios de Execução (Escopo de Aplicação)</w:t>
      </w:r>
      <w:bookmarkEnd w:id="10"/>
      <w:bookmarkEnd w:id="11"/>
    </w:p>
    <w:p>
      <w:pPr>
        <w:pStyle w:val="Normal"/>
        <w:spacing w:lineRule="auto" w:line="276" w:before="0" w:after="0"/>
        <w:ind w:firstLine="567"/>
        <w:contextualSpacing/>
        <w:jc w:val="both"/>
        <w:rPr/>
      </w:pPr>
      <w:r>
        <w:rPr/>
        <w:t>O motor semântico e a infraestrutura agnóstica do núcleo foram desenhados para suportar cargas de trabalho massivas, projetando a linguagem para:</w:t>
      </w:r>
    </w:p>
    <w:p>
      <w:pPr>
        <w:pStyle w:val="Normal"/>
        <w:numPr>
          <w:ilvl w:val="0"/>
          <w:numId w:val="18"/>
        </w:numPr>
        <w:spacing w:lineRule="auto" w:line="276" w:before="0" w:after="0"/>
        <w:contextualSpacing/>
        <w:jc w:val="both"/>
        <w:rPr/>
      </w:pPr>
      <w:r>
        <w:rPr>
          <w:b/>
          <w:bCs/>
        </w:rPr>
        <w:t>Prototipagem e Ensino (</w:t>
      </w:r>
      <w:r>
        <w:rPr>
          <w:b/>
          <w:bCs/>
          <w:i/>
          <w:iCs/>
        </w:rPr>
        <w:t>Aprendizagem</w:t>
      </w:r>
      <w:r>
        <w:rPr>
          <w:b/>
          <w:bCs/>
        </w:rPr>
        <w:t>):</w:t>
      </w:r>
      <w:r>
        <w:rPr/>
        <w:t xml:space="preserve"> Redução de verbosidade aliada à tipagem inferida, facilitando a internalização conceitual dos algoritmos.</w:t>
      </w:r>
    </w:p>
    <w:p>
      <w:pPr>
        <w:pStyle w:val="Normal"/>
        <w:numPr>
          <w:ilvl w:val="0"/>
          <w:numId w:val="18"/>
        </w:numPr>
        <w:spacing w:lineRule="auto" w:line="276" w:before="0" w:after="0"/>
        <w:contextualSpacing/>
        <w:jc w:val="both"/>
        <w:rPr/>
      </w:pPr>
      <w:r>
        <w:rPr>
          <w:b/>
          <w:bCs/>
        </w:rPr>
        <w:t>HPC (</w:t>
      </w:r>
      <w:r>
        <w:rPr>
          <w:b/>
          <w:bCs/>
          <w:i/>
          <w:iCs/>
        </w:rPr>
        <w:t>Ciência e Engenharia</w:t>
      </w:r>
      <w:r>
        <w:rPr>
          <w:b/>
          <w:bCs/>
        </w:rPr>
        <w:t>):</w:t>
      </w:r>
      <w:r>
        <w:rPr/>
        <w:t xml:space="preserve"> Suporte inerente à modelagem física, simulações complexas e operações algorítmicas rigorosas.</w:t>
      </w:r>
    </w:p>
    <w:p>
      <w:pPr>
        <w:pStyle w:val="Normal"/>
        <w:numPr>
          <w:ilvl w:val="0"/>
          <w:numId w:val="18"/>
        </w:numPr>
        <w:spacing w:lineRule="auto" w:line="276" w:before="0" w:after="0"/>
        <w:contextualSpacing/>
        <w:jc w:val="both"/>
        <w:rPr/>
      </w:pPr>
      <w:r>
        <w:rPr>
          <w:b/>
          <w:bCs/>
        </w:rPr>
        <w:t>Redes Neurais (</w:t>
      </w:r>
      <w:r>
        <w:rPr>
          <w:b/>
          <w:bCs/>
          <w:i/>
          <w:iCs/>
        </w:rPr>
        <w:t>IA e Computação Numérica</w:t>
      </w:r>
      <w:r>
        <w:rPr>
          <w:b/>
          <w:bCs/>
        </w:rPr>
        <w:t>):</w:t>
      </w:r>
      <w:r>
        <w:rPr/>
        <w:t xml:space="preserve"> Integração com </w:t>
      </w:r>
      <w:r>
        <w:rPr>
          <w:i/>
          <w:iCs/>
        </w:rPr>
        <w:t>backends</w:t>
      </w:r>
      <w:r>
        <w:rPr/>
        <w:t xml:space="preserve"> heterogêneos para processamento tensorial, cálculo de gradientes e álgebra linear pesada.</w:t>
      </w:r>
    </w:p>
    <w:p>
      <w:pPr>
        <w:pStyle w:val="Normal"/>
        <w:numPr>
          <w:ilvl w:val="0"/>
          <w:numId w:val="18"/>
        </w:numPr>
        <w:spacing w:lineRule="auto" w:line="276" w:before="0" w:after="0"/>
        <w:contextualSpacing/>
        <w:jc w:val="both"/>
        <w:rPr/>
      </w:pPr>
      <w:r>
        <w:rPr>
          <w:b/>
          <w:bCs/>
        </w:rPr>
        <w:t>Orquestração Massiva (</w:t>
      </w:r>
      <w:r>
        <w:rPr>
          <w:b/>
          <w:bCs/>
          <w:i/>
          <w:iCs/>
        </w:rPr>
        <w:t>Sistemas Distribuídos e Pipelines de Dados</w:t>
      </w:r>
      <w:r>
        <w:rPr>
          <w:b/>
          <w:bCs/>
        </w:rPr>
        <w:t>):</w:t>
      </w:r>
      <w:r>
        <w:rPr/>
        <w:t xml:space="preserve"> Estruturação natural para computação paralela, permitindo varredura de dados contínua através de </w:t>
      </w:r>
      <w:r>
        <w:rPr>
          <w:i/>
          <w:iCs/>
        </w:rPr>
        <w:t>clusters</w:t>
      </w:r>
      <w:r>
        <w:rPr/>
        <w:t xml:space="preserve"> físicos descentralizados.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2" name="Forma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12" w:name="__RefHeading___Toc8328_3056492648"/>
      <w:bookmarkStart w:id="13" w:name="_Toc230559699"/>
      <w:bookmarkStart w:id="14" w:name="_Toc229957213"/>
      <w:bookmarkEnd w:id="12"/>
      <w:r>
        <w:rPr>
          <w:rFonts w:cs="Arial" w:ascii="Arial" w:hAnsi="Arial"/>
          <w:b/>
          <w:bCs/>
        </w:rPr>
        <w:t>2 Arquitetura Geral</w:t>
      </w:r>
      <w:bookmarkEnd w:id="13"/>
      <w:bookmarkEnd w:id="14"/>
    </w:p>
    <w:p>
      <w:pPr>
        <w:pStyle w:val="Normal"/>
        <w:spacing w:lineRule="auto" w:line="276" w:before="0" w:after="0"/>
        <w:ind w:firstLine="567"/>
        <w:contextualSpacing/>
        <w:jc w:val="both"/>
        <w:rPr/>
      </w:pPr>
      <w:r>
        <w:rPr/>
        <w:t xml:space="preserve">A arquitetura do ecossistema </w:t>
      </w:r>
      <w:r>
        <w:rPr>
          <w:b/>
          <w:bCs/>
        </w:rPr>
        <w:t xml:space="preserve">FLUX </w:t>
      </w:r>
      <w:r>
        <w:rPr/>
        <w:t>é estruturada de forma modular em quatro camadas concêntricas e interdependentes, projetadas para isolar a infraestrutura de compilação das semânticas de execução de alto desempenho:</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696"/>
        <w:gridCol w:w="6798"/>
      </w:tblGrid>
      <w:tr>
        <w:trPr/>
        <w:tc>
          <w:tcPr>
            <w:tcW w:w="1696"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Camada</w:t>
            </w:r>
          </w:p>
        </w:tc>
        <w:tc>
          <w:tcPr>
            <w:tcW w:w="679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Responsabilidade Arquitetural</w:t>
            </w:r>
          </w:p>
        </w:tc>
      </w:tr>
      <w:tr>
        <w:trPr>
          <w:trHeight w:val="851" w:hRule="exact"/>
        </w:trPr>
        <w:tc>
          <w:tcPr>
            <w:tcW w:w="1696" w:type="dxa"/>
            <w:tcBorders/>
            <w:vAlign w:val="center"/>
          </w:tcPr>
          <w:p>
            <w:pPr>
              <w:pStyle w:val="Normal"/>
              <w:widowControl/>
              <w:suppressAutoHyphens w:val="true"/>
              <w:spacing w:lineRule="auto" w:line="276" w:before="0" w:after="0"/>
              <w:contextualSpacing/>
              <w:jc w:val="center"/>
              <w:rPr>
                <w:rFonts w:eastAsia="Aptos"/>
              </w:rPr>
            </w:pPr>
            <w:r>
              <w:rPr>
                <w:rFonts w:eastAsia="Aptos" w:cs="Arial"/>
                <w:b/>
                <w:bCs/>
                <w:i/>
                <w:iCs/>
                <w:kern w:val="2"/>
                <w:sz w:val="24"/>
                <w:szCs w:val="24"/>
                <w:lang w:val="pt-BR" w:eastAsia="en-US" w:bidi="ar-SA"/>
              </w:rPr>
              <w:t>kernel</w:t>
            </w:r>
          </w:p>
        </w:tc>
        <w:tc>
          <w:tcPr>
            <w:tcW w:w="6798"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Análise lexical/sintática, subsistema de tipos primitivos, gerência de execução elementar e </w:t>
            </w:r>
            <w:r>
              <w:rPr>
                <w:rFonts w:eastAsia="Aptos" w:cs="Arial"/>
                <w:i/>
                <w:iCs/>
                <w:kern w:val="2"/>
                <w:sz w:val="24"/>
                <w:szCs w:val="24"/>
                <w:lang w:val="pt-BR" w:eastAsia="en-US" w:bidi="ar-SA"/>
              </w:rPr>
              <w:t>dispatch</w:t>
            </w:r>
            <w:r>
              <w:rPr>
                <w:rFonts w:eastAsia="Aptos" w:cs="Arial"/>
                <w:kern w:val="2"/>
                <w:sz w:val="24"/>
                <w:szCs w:val="24"/>
                <w:lang w:val="pt-BR" w:eastAsia="en-US" w:bidi="ar-SA"/>
              </w:rPr>
              <w:t xml:space="preserve"> de instruções.</w:t>
            </w:r>
          </w:p>
        </w:tc>
      </w:tr>
      <w:tr>
        <w:trPr/>
        <w:tc>
          <w:tcPr>
            <w:tcW w:w="1696" w:type="dxa"/>
            <w:tcBorders/>
            <w:vAlign w:val="center"/>
          </w:tcPr>
          <w:p>
            <w:pPr>
              <w:pStyle w:val="Normal"/>
              <w:widowControl/>
              <w:suppressAutoHyphens w:val="true"/>
              <w:spacing w:lineRule="auto" w:line="276" w:before="0" w:after="0"/>
              <w:contextualSpacing/>
              <w:jc w:val="center"/>
              <w:rPr>
                <w:rFonts w:eastAsia="Aptos"/>
                <w:b/>
                <w:bCs/>
                <w:i/>
                <w:iCs/>
              </w:rPr>
            </w:pPr>
            <w:r>
              <w:rPr>
                <w:rFonts w:eastAsia="Aptos" w:cs="Arial"/>
                <w:b/>
                <w:bCs/>
                <w:i/>
                <w:iCs/>
                <w:kern w:val="2"/>
                <w:sz w:val="24"/>
                <w:szCs w:val="24"/>
                <w:lang w:val="pt-BR" w:eastAsia="en-US" w:bidi="ar-SA"/>
              </w:rPr>
              <w:t>program</w:t>
            </w:r>
          </w:p>
        </w:tc>
        <w:tc>
          <w:tcPr>
            <w:tcW w:w="6798"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Subconjunto de instruções do </w:t>
            </w:r>
            <w:r>
              <w:rPr>
                <w:rFonts w:eastAsia="Aptos" w:cs="Arial"/>
                <w:i/>
                <w:iCs/>
                <w:kern w:val="2"/>
                <w:sz w:val="24"/>
                <w:szCs w:val="24"/>
                <w:lang w:val="pt-BR" w:eastAsia="en-US" w:bidi="ar-SA"/>
              </w:rPr>
              <w:t>kernel</w:t>
            </w:r>
            <w:r>
              <w:rPr>
                <w:rFonts w:eastAsia="Aptos" w:cs="Arial"/>
                <w:kern w:val="2"/>
                <w:sz w:val="24"/>
                <w:szCs w:val="24"/>
                <w:lang w:val="pt-BR" w:eastAsia="en-US" w:bidi="ar-SA"/>
              </w:rPr>
              <w:t>, responsável por iniciar um processo que pode ser iniciado em uma máquina virtual (VM), interpretado ou executado em linguagem nativa</w:t>
            </w:r>
          </w:p>
        </w:tc>
      </w:tr>
      <w:tr>
        <w:trPr/>
        <w:tc>
          <w:tcPr>
            <w:tcW w:w="1696" w:type="dxa"/>
            <w:tcBorders/>
            <w:vAlign w:val="center"/>
          </w:tcPr>
          <w:p>
            <w:pPr>
              <w:pStyle w:val="Normal"/>
              <w:widowControl/>
              <w:suppressAutoHyphens w:val="true"/>
              <w:spacing w:lineRule="auto" w:line="276" w:before="0" w:after="0"/>
              <w:contextualSpacing/>
              <w:jc w:val="center"/>
              <w:rPr>
                <w:rFonts w:eastAsia="Aptos"/>
              </w:rPr>
            </w:pPr>
            <w:r>
              <w:rPr>
                <w:rFonts w:eastAsia="Aptos" w:cs="Arial"/>
                <w:b/>
                <w:bCs/>
                <w:i/>
                <w:iCs/>
                <w:kern w:val="2"/>
                <w:sz w:val="24"/>
                <w:szCs w:val="24"/>
                <w:lang w:val="pt-BR" w:eastAsia="en-US" w:bidi="ar-SA"/>
              </w:rPr>
              <w:t>agent</w:t>
            </w:r>
          </w:p>
        </w:tc>
        <w:tc>
          <w:tcPr>
            <w:tcW w:w="6798"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Subconjunto de instruções do </w:t>
            </w:r>
            <w:r>
              <w:rPr>
                <w:rFonts w:eastAsia="Aptos" w:cs="Arial"/>
                <w:i/>
                <w:iCs/>
                <w:kern w:val="2"/>
                <w:sz w:val="24"/>
                <w:szCs w:val="24"/>
                <w:lang w:val="pt-BR" w:eastAsia="en-US" w:bidi="ar-SA"/>
              </w:rPr>
              <w:t>kernel</w:t>
            </w:r>
            <w:r>
              <w:rPr>
                <w:rFonts w:eastAsia="Aptos" w:cs="Arial"/>
                <w:kern w:val="2"/>
                <w:sz w:val="24"/>
                <w:szCs w:val="24"/>
                <w:lang w:val="pt-BR" w:eastAsia="en-US" w:bidi="ar-SA"/>
              </w:rPr>
              <w:t xml:space="preserve"> ou implementadas como um outro </w:t>
            </w:r>
            <w:r>
              <w:rPr>
                <w:rFonts w:eastAsia="Aptos" w:cs="Arial"/>
                <w:i/>
                <w:iCs/>
                <w:kern w:val="2"/>
                <w:sz w:val="24"/>
                <w:szCs w:val="24"/>
                <w:lang w:val="pt-BR" w:eastAsia="en-US" w:bidi="ar-SA"/>
              </w:rPr>
              <w:t>agent</w:t>
            </w:r>
            <w:r>
              <w:rPr>
                <w:rFonts w:eastAsia="Aptos" w:cs="Arial"/>
                <w:kern w:val="2"/>
                <w:sz w:val="24"/>
                <w:szCs w:val="24"/>
                <w:lang w:val="pt-BR" w:eastAsia="en-US" w:bidi="ar-SA"/>
              </w:rPr>
              <w:t xml:space="preserve"> que implementam semânticas computacionais de domínio DSLs (Domain-Specific Languages) embutidas.</w:t>
            </w:r>
          </w:p>
        </w:tc>
      </w:tr>
      <w:tr>
        <w:trPr>
          <w:trHeight w:val="851" w:hRule="exact"/>
        </w:trPr>
        <w:tc>
          <w:tcPr>
            <w:tcW w:w="1696" w:type="dxa"/>
            <w:tcBorders/>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dataflow</w:t>
            </w:r>
          </w:p>
        </w:tc>
        <w:tc>
          <w:tcPr>
            <w:tcW w:w="6798"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Orquestração, modelagem topológica e encadeamento das matrizes de transformação de dados.</w:t>
            </w:r>
          </w:p>
        </w:tc>
      </w:tr>
      <w:tr>
        <w:trPr>
          <w:trHeight w:val="851" w:hRule="exact"/>
        </w:trPr>
        <w:tc>
          <w:tcPr>
            <w:tcW w:w="1696" w:type="dxa"/>
            <w:tcBorders/>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runtime</w:t>
            </w:r>
          </w:p>
        </w:tc>
        <w:tc>
          <w:tcPr>
            <w:tcW w:w="6798"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Alocação de memória física, inferência de tempo de vida de recursos e otimizações de baixo nível.</w:t>
            </w:r>
          </w:p>
        </w:tc>
      </w:tr>
    </w:tbl>
    <w:p>
      <w:pPr>
        <w:pStyle w:val="Normal"/>
        <w:spacing w:lineRule="auto" w:line="276" w:before="0" w:after="0"/>
        <w:contextualSpacing/>
        <w:rPr/>
      </w:pPr>
      <w:r>
        <w:rPr/>
      </w:r>
    </w:p>
    <w:p>
      <w:pPr>
        <w:pStyle w:val="Normal"/>
        <w:spacing w:lineRule="auto" w:line="276" w:before="0" w:after="0"/>
        <w:contextualSpacing/>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3" name="Forma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15" w:name="__RefHeading___Toc8330_3056492648"/>
      <w:bookmarkStart w:id="16" w:name="_Toc230559700"/>
      <w:bookmarkStart w:id="17" w:name="_Toc229957214"/>
      <w:bookmarkEnd w:id="15"/>
      <w:r>
        <w:rPr>
          <w:rFonts w:cs="Arial" w:ascii="Arial" w:hAnsi="Arial"/>
          <w:b/>
          <w:bCs/>
        </w:rPr>
        <w:t xml:space="preserve">3 Filosofia do </w:t>
      </w:r>
      <w:r>
        <w:rPr>
          <w:rFonts w:cs="Arial" w:ascii="Arial" w:hAnsi="Arial"/>
          <w:b/>
          <w:bCs/>
          <w:i/>
          <w:iCs/>
        </w:rPr>
        <w:t>Kernel</w:t>
      </w:r>
      <w:bookmarkEnd w:id="16"/>
      <w:bookmarkEnd w:id="17"/>
    </w:p>
    <w:p>
      <w:pPr>
        <w:pStyle w:val="Normal"/>
        <w:spacing w:lineRule="auto" w:line="276" w:before="0" w:after="0"/>
        <w:ind w:firstLine="567"/>
        <w:contextualSpacing/>
        <w:jc w:val="both"/>
        <w:rPr/>
      </w:pPr>
      <w:r>
        <w:rPr/>
        <w:t xml:space="preserve">O </w:t>
      </w:r>
      <w:r>
        <w:rPr>
          <w:i/>
          <w:iCs/>
        </w:rPr>
        <w:t>kernel</w:t>
      </w:r>
      <w:r>
        <w:rPr/>
        <w:t xml:space="preserve"> da linguagem </w:t>
      </w:r>
      <w:r>
        <w:rPr>
          <w:b/>
          <w:bCs/>
        </w:rPr>
        <w:t xml:space="preserve">FLUX </w:t>
      </w:r>
      <w:r>
        <w:rPr/>
        <w:t xml:space="preserve">opera sob um princípio de </w:t>
      </w:r>
      <w:r>
        <w:rPr>
          <w:b/>
          <w:bCs/>
        </w:rPr>
        <w:t>Agnosticismo Semântico Estrito</w:t>
      </w:r>
      <w:r>
        <w:rPr/>
        <w:t>. Seu design estrutural garante que o núcleo do compilador permaneça puramente voltado à infraestrutura, atuando como um barramento de dados altamente eficiente que é propositalmente desacoplado tanto do hardware físico quanto das lógicas de domínio.</w:t>
      </w:r>
    </w:p>
    <w:p>
      <w:pPr>
        <w:pStyle w:val="Normal"/>
        <w:spacing w:lineRule="auto" w:line="276" w:before="0" w:after="0"/>
        <w:contextualSpacing/>
        <w:jc w:val="both"/>
        <w:rPr/>
      </w:pPr>
      <w:r>
        <w:rPr/>
      </w:r>
    </w:p>
    <w:p>
      <w:pPr>
        <w:pStyle w:val="Normal"/>
        <w:spacing w:lineRule="auto" w:line="276" w:before="0" w:after="0"/>
        <w:contextualSpacing/>
        <w:rPr/>
      </w:pPr>
      <w:r>
        <w:rPr/>
      </w:r>
    </w:p>
    <w:p>
      <w:pPr>
        <w:pStyle w:val="Heading2"/>
        <w:spacing w:lineRule="auto" w:line="276" w:before="0" w:after="0"/>
        <w:contextualSpacing/>
        <w:jc w:val="both"/>
        <w:rPr/>
      </w:pPr>
      <w:bookmarkStart w:id="18" w:name="__RefHeading___Toc8332_3056492648"/>
      <w:bookmarkStart w:id="19" w:name="_Toc230559701"/>
      <w:bookmarkStart w:id="20" w:name="_Toc229957215"/>
      <w:bookmarkEnd w:id="18"/>
      <w:r>
        <w:rPr>
          <w:rFonts w:cs="Arial" w:ascii="Arial" w:hAnsi="Arial"/>
        </w:rPr>
        <w:t xml:space="preserve">3.1 Fronteiras de Abstração (O que o </w:t>
      </w:r>
      <w:r>
        <w:rPr>
          <w:rFonts w:cs="Arial" w:ascii="Arial" w:hAnsi="Arial"/>
          <w:i/>
          <w:iCs/>
        </w:rPr>
        <w:t>kernel</w:t>
      </w:r>
      <w:r>
        <w:rPr>
          <w:rFonts w:cs="Arial" w:ascii="Arial" w:hAnsi="Arial"/>
        </w:rPr>
        <w:t xml:space="preserve"> ignora)</w:t>
      </w:r>
      <w:bookmarkEnd w:id="19"/>
      <w:bookmarkEnd w:id="20"/>
    </w:p>
    <w:p>
      <w:pPr>
        <w:pStyle w:val="Normal"/>
        <w:spacing w:lineRule="auto" w:line="276" w:before="0" w:after="0"/>
        <w:ind w:firstLine="567"/>
        <w:contextualSpacing/>
        <w:jc w:val="both"/>
        <w:rPr/>
      </w:pPr>
      <w:r>
        <w:rPr/>
        <w:t xml:space="preserve">O </w:t>
      </w:r>
      <w:r>
        <w:rPr>
          <w:i/>
          <w:iCs/>
        </w:rPr>
        <w:t>kernel</w:t>
      </w:r>
      <w:r>
        <w:rPr/>
        <w:t xml:space="preserve"> é arquitetado para ser "cego" a otimizações de domínio específico e arquiteturas de execução físicas. Ele trata essas áreas como entidades opacas ("caixas pretas"): </w:t>
      </w:r>
    </w:p>
    <w:p>
      <w:pPr>
        <w:pStyle w:val="Normal"/>
        <w:numPr>
          <w:ilvl w:val="0"/>
          <w:numId w:val="3"/>
        </w:numPr>
        <w:spacing w:lineRule="auto" w:line="276" w:before="0" w:after="0"/>
        <w:contextualSpacing/>
        <w:jc w:val="both"/>
        <w:rPr/>
      </w:pPr>
      <w:r>
        <w:rPr>
          <w:b/>
          <w:bCs/>
        </w:rPr>
        <w:t>Domínios Matemáticos e Científicos:</w:t>
      </w:r>
      <w:r>
        <w:rPr/>
        <w:t xml:space="preserve"> Não possui reconhecimento embutido de algoritmos de álgebra linear, modelagem física, processos estatísticos, modelos de Inteligência Artificial ou quaisquer regras de negócio.</w:t>
      </w:r>
    </w:p>
    <w:p>
      <w:pPr>
        <w:pStyle w:val="Normal"/>
        <w:numPr>
          <w:ilvl w:val="0"/>
          <w:numId w:val="3"/>
        </w:numPr>
        <w:spacing w:lineRule="auto" w:line="276" w:before="0" w:after="0"/>
        <w:contextualSpacing/>
        <w:jc w:val="both"/>
        <w:rPr/>
      </w:pPr>
      <w:r>
        <w:rPr>
          <w:b/>
          <w:bCs/>
        </w:rPr>
        <w:t>Topologia de Hardware e Aceleração:</w:t>
      </w:r>
      <w:r>
        <w:rPr/>
        <w:t xml:space="preserve"> Desconhece completamente a existência de paralelismo em nível de instrução ou de dados (registradores SIMD, AVX) e aceleradores heterogêneos (backends de </w:t>
      </w:r>
      <w:r>
        <w:rPr>
          <w:i/>
          <w:iCs/>
        </w:rPr>
        <w:t>GPU</w:t>
      </w:r>
      <w:r>
        <w:rPr/>
        <w:t xml:space="preserve"> como CUDA ou OpenCL) e bibliotecas externas de matemática de alto desempenho (como MKL, BLAS e LAPACK).</w:t>
      </w:r>
    </w:p>
    <w:p>
      <w:pPr>
        <w:pStyle w:val="Normal"/>
        <w:numPr>
          <w:ilvl w:val="0"/>
          <w:numId w:val="3"/>
        </w:numPr>
        <w:spacing w:lineRule="auto" w:line="276" w:before="0" w:after="0"/>
        <w:contextualSpacing/>
        <w:jc w:val="both"/>
        <w:rPr/>
      </w:pPr>
      <w:r>
        <w:rPr>
          <w:b/>
          <w:bCs/>
        </w:rPr>
        <w:t xml:space="preserve">Lógica Interna dos </w:t>
      </w:r>
      <w:r>
        <w:rPr>
          <w:b/>
          <w:bCs/>
          <w:i/>
          <w:iCs/>
        </w:rPr>
        <w:t>Agents</w:t>
      </w:r>
      <w:r>
        <w:rPr>
          <w:b/>
          <w:bCs/>
        </w:rPr>
        <w:t>:</w:t>
      </w:r>
      <w:r>
        <w:rPr/>
        <w:t xml:space="preserve"> A semântica especializada implementada pelas DSLs dos </w:t>
      </w:r>
      <w:r>
        <w:rPr>
          <w:i/>
          <w:iCs/>
        </w:rPr>
        <w:t>agent</w:t>
      </w:r>
      <w:r>
        <w:rPr/>
        <w:t xml:space="preserve">s é impermeável ao </w:t>
      </w:r>
      <w:r>
        <w:rPr>
          <w:i/>
          <w:iCs/>
        </w:rPr>
        <w:t>kernel</w:t>
      </w:r>
      <w:r>
        <w:rPr/>
        <w:t>. Ele delega a instrução sem inspecionar o seu conteúdo matemático profundo.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21" w:name="__RefHeading___Toc8334_3056492648"/>
      <w:bookmarkStart w:id="22" w:name="_Toc230559702"/>
      <w:bookmarkStart w:id="23" w:name="_Toc229957216"/>
      <w:bookmarkEnd w:id="21"/>
      <w:r>
        <w:rPr>
          <w:rFonts w:cs="Arial" w:ascii="Arial" w:hAnsi="Arial"/>
        </w:rPr>
        <w:t xml:space="preserve">3.2 Competências de Infraestrutura (O que o </w:t>
      </w:r>
      <w:r>
        <w:rPr>
          <w:rFonts w:cs="Arial" w:ascii="Arial" w:hAnsi="Arial"/>
          <w:i/>
          <w:iCs/>
        </w:rPr>
        <w:t>kernel</w:t>
      </w:r>
      <w:r>
        <w:rPr>
          <w:rFonts w:cs="Arial" w:ascii="Arial" w:hAnsi="Arial"/>
        </w:rPr>
        <w:t xml:space="preserve"> governa)</w:t>
      </w:r>
      <w:bookmarkEnd w:id="22"/>
      <w:bookmarkEnd w:id="23"/>
    </w:p>
    <w:p>
      <w:pPr>
        <w:pStyle w:val="Normal"/>
        <w:spacing w:lineRule="auto" w:line="276" w:before="0" w:after="0"/>
        <w:ind w:firstLine="567"/>
        <w:contextualSpacing/>
        <w:jc w:val="both"/>
        <w:rPr/>
      </w:pPr>
      <w:r>
        <w:rPr/>
        <w:t xml:space="preserve">Sendo um elemento fundamental, o </w:t>
      </w:r>
      <w:r>
        <w:rPr>
          <w:i/>
          <w:iCs/>
        </w:rPr>
        <w:t>kernel</w:t>
      </w:r>
      <w:r>
        <w:rPr/>
        <w:t xml:space="preserve"> detém soberania exclusiva sobre o gerenciamento mecânico e topológico do ecossistema, atuando nas seguintes frentes:</w:t>
      </w:r>
    </w:p>
    <w:p>
      <w:pPr>
        <w:pStyle w:val="Normal"/>
        <w:numPr>
          <w:ilvl w:val="0"/>
          <w:numId w:val="4"/>
        </w:numPr>
        <w:spacing w:lineRule="auto" w:line="276" w:before="0" w:after="0"/>
        <w:contextualSpacing/>
        <w:jc w:val="both"/>
        <w:rPr/>
      </w:pPr>
      <w:r>
        <w:rPr>
          <w:b/>
          <w:bCs/>
        </w:rPr>
        <w:t>Controle Topológico (Fluxo e Dependência):</w:t>
      </w:r>
      <w:r>
        <w:rPr/>
        <w:t xml:space="preserve"> Construção e resolução do Grafo de Dependência de Dados (DDG), rastreando a precedência do fluxo de dados para assegurar que a esteira de processamento opere sem bloqueios (</w:t>
      </w:r>
      <w:r>
        <w:rPr>
          <w:i/>
          <w:iCs/>
        </w:rPr>
        <w:t>deadlocks</w:t>
      </w:r>
      <w:r>
        <w:rPr/>
        <w:t>).</w:t>
      </w:r>
    </w:p>
    <w:p>
      <w:pPr>
        <w:pStyle w:val="Normal"/>
        <w:numPr>
          <w:ilvl w:val="0"/>
          <w:numId w:val="4"/>
        </w:numPr>
        <w:spacing w:lineRule="auto" w:line="276" w:before="0" w:after="0"/>
        <w:contextualSpacing/>
        <w:jc w:val="both"/>
        <w:rPr/>
      </w:pPr>
      <w:r>
        <w:rPr>
          <w:b/>
          <w:bCs/>
        </w:rPr>
        <w:t>Semântica de Mutabilidade e Tipos:</w:t>
      </w:r>
      <w:r>
        <w:rPr/>
        <w:t xml:space="preserve"> Resolução estática e dinâmica de tipos fundamentais e aplicação rígida das regras de mutabilidade de memória, essencial para evitar colisões de acesso em rotinas paralelas.</w:t>
      </w:r>
    </w:p>
    <w:p>
      <w:pPr>
        <w:pStyle w:val="Normal"/>
        <w:numPr>
          <w:ilvl w:val="0"/>
          <w:numId w:val="4"/>
        </w:numPr>
        <w:spacing w:lineRule="auto" w:line="276" w:before="0" w:after="0"/>
        <w:contextualSpacing/>
        <w:jc w:val="both"/>
        <w:rPr/>
      </w:pPr>
      <w:r>
        <w:rPr>
          <w:b/>
          <w:bCs/>
        </w:rPr>
        <w:t>Gestão Estrutural e de Ciclo de Vida (</w:t>
      </w:r>
      <w:r>
        <w:rPr>
          <w:b/>
          <w:bCs/>
          <w:i/>
          <w:iCs/>
        </w:rPr>
        <w:t>Liveness Analysis</w:t>
      </w:r>
      <w:r>
        <w:rPr>
          <w:b/>
          <w:bCs/>
        </w:rPr>
        <w:t>):</w:t>
      </w:r>
      <w:r>
        <w:rPr/>
        <w:t xml:space="preserve"> Realiza a inferência estática do tempo de vida (</w:t>
      </w:r>
      <w:r>
        <w:rPr>
          <w:i/>
          <w:iCs/>
        </w:rPr>
        <w:t>lifetime</w:t>
      </w:r>
      <w:r>
        <w:rPr/>
        <w:t xml:space="preserve">) da memória física com base na permanência dos dados no grafo, permitindo a liberação sem a necessidade de um </w:t>
      </w:r>
      <w:r>
        <w:rPr>
          <w:i/>
          <w:iCs/>
        </w:rPr>
        <w:t>Garbage Collector</w:t>
      </w:r>
      <w:r>
        <w:rPr/>
        <w:t>.</w:t>
      </w:r>
    </w:p>
    <w:p>
      <w:pPr>
        <w:pStyle w:val="Normal"/>
        <w:numPr>
          <w:ilvl w:val="0"/>
          <w:numId w:val="4"/>
        </w:numPr>
        <w:spacing w:lineRule="auto" w:line="276" w:before="0" w:after="0"/>
        <w:contextualSpacing/>
        <w:jc w:val="both"/>
        <w:rPr/>
      </w:pPr>
      <w:r>
        <w:rPr>
          <w:b/>
          <w:bCs/>
        </w:rPr>
        <w:t>Despacho (</w:t>
      </w:r>
      <w:r>
        <w:rPr>
          <w:b/>
          <w:bCs/>
          <w:i/>
          <w:iCs/>
        </w:rPr>
        <w:t>Dispatch</w:t>
      </w:r>
      <w:r>
        <w:rPr>
          <w:b/>
          <w:bCs/>
        </w:rPr>
        <w:t>):</w:t>
      </w:r>
      <w:r>
        <w:rPr/>
        <w:t xml:space="preserve"> Motor de resolução de chamadas que roteia o fluxo de dados do ecossistema central para o </w:t>
      </w:r>
      <w:r>
        <w:rPr>
          <w:i/>
          <w:iCs/>
        </w:rPr>
        <w:t>agent</w:t>
      </w:r>
      <w:r>
        <w:rPr/>
        <w:t xml:space="preserve"> correto no tempo de execução.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24" w:name="__RefHeading___Toc8334_3056492648_Copia_"/>
      <w:bookmarkStart w:id="25" w:name="_Toc230559702_Copia_1"/>
      <w:bookmarkStart w:id="26" w:name="_Toc229957216_Copia_1"/>
      <w:bookmarkEnd w:id="24"/>
      <w:r>
        <w:rPr>
          <w:rFonts w:cs="Arial" w:ascii="Arial" w:hAnsi="Arial"/>
        </w:rPr>
        <w:t xml:space="preserve">3.3 </w:t>
      </w:r>
      <w:bookmarkEnd w:id="25"/>
      <w:bookmarkEnd w:id="26"/>
      <w:r>
        <w:rPr>
          <w:rFonts w:cs="Arial" w:ascii="Arial" w:hAnsi="Arial"/>
        </w:rPr>
        <w:t>Metaprogramação</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A versão atual suporta um subconjunto focado e seguro de metaprogramação, projetado para evitar complexidade excessiva nesta fase inicial:</w:t>
      </w:r>
    </w:p>
    <w:p>
      <w:pPr>
        <w:pStyle w:val="Normal"/>
        <w:numPr>
          <w:ilvl w:val="0"/>
          <w:numId w:val="20"/>
        </w:numPr>
        <w:spacing w:lineRule="auto" w:line="276" w:before="0" w:after="0"/>
        <w:contextualSpacing/>
        <w:jc w:val="both"/>
        <w:rPr>
          <w:rFonts w:ascii="Arial" w:hAnsi="Arial" w:cs="Arial"/>
        </w:rPr>
      </w:pPr>
      <w:r>
        <w:rPr>
          <w:rFonts w:cs="Arial"/>
        </w:rPr>
        <w:t>Macros: Suporte a macro em nível global (top-level) e macros de expressão. Existem limites rígidos no compilador para evitar recursão infinita e explosão no tamanho da expansão.</w:t>
      </w:r>
    </w:p>
    <w:p>
      <w:pPr>
        <w:pStyle w:val="Normal"/>
        <w:numPr>
          <w:ilvl w:val="0"/>
          <w:numId w:val="20"/>
        </w:numPr>
        <w:spacing w:lineRule="auto" w:line="276" w:before="0" w:after="0"/>
        <w:contextualSpacing/>
        <w:jc w:val="both"/>
        <w:rPr>
          <w:rFonts w:ascii="Arial" w:hAnsi="Arial" w:cs="Arial"/>
        </w:rPr>
      </w:pPr>
      <w:r>
        <w:rPr>
          <w:rFonts w:cs="Arial"/>
          <w:i/>
          <w:iCs/>
        </w:rPr>
        <w:t>Quote e Unquote</w:t>
      </w:r>
      <w:r>
        <w:rPr>
          <w:rFonts w:cs="Arial"/>
        </w:rPr>
        <w:t xml:space="preserve">: O bloco </w:t>
      </w:r>
      <w:r>
        <w:rPr>
          <w:rFonts w:cs="Arial"/>
          <w:i/>
          <w:iCs/>
        </w:rPr>
        <w:t>quote { ... }</w:t>
      </w:r>
      <w:r>
        <w:rPr>
          <w:rFonts w:cs="Arial"/>
        </w:rPr>
        <w:t xml:space="preserve"> é utilizado exclusivamente para a geração de declarações e instruções estruturais. O uso de </w:t>
      </w:r>
      <w:r>
        <w:rPr>
          <w:rFonts w:cs="Arial"/>
          <w:i/>
          <w:iCs/>
        </w:rPr>
        <w:t>unquote(...)</w:t>
      </w:r>
      <w:r>
        <w:rPr>
          <w:rFonts w:cs="Arial"/>
        </w:rPr>
        <w:t xml:space="preserve"> só é válido dentro do escopo fechado de um quote.</w:t>
      </w:r>
    </w:p>
    <w:p>
      <w:pPr>
        <w:pStyle w:val="Normal"/>
        <w:numPr>
          <w:ilvl w:val="0"/>
          <w:numId w:val="20"/>
        </w:numPr>
        <w:spacing w:lineRule="auto" w:line="276" w:before="0" w:after="0"/>
        <w:contextualSpacing/>
        <w:jc w:val="both"/>
        <w:rPr>
          <w:rFonts w:ascii="Arial" w:hAnsi="Arial" w:cs="Arial"/>
        </w:rPr>
      </w:pPr>
      <w:r>
        <w:rPr>
          <w:rFonts w:cs="Arial"/>
          <w:i/>
          <w:iCs/>
        </w:rPr>
        <w:t>Comptime</w:t>
      </w:r>
      <w:r>
        <w:rPr>
          <w:rFonts w:cs="Arial"/>
        </w:rPr>
        <w:t xml:space="preserve"> avalia expressões e blocos inteiros em tempo de compilação. Ele opera de forma isolada e não tem acesso a símbolos ou valores avaliados em tempo de execução (</w:t>
      </w:r>
      <w:r>
        <w:rPr>
          <w:rFonts w:cs="Arial"/>
          <w:i/>
          <w:iCs/>
        </w:rPr>
        <w:t>runtime</w:t>
      </w:r>
      <w:r>
        <w:rPr>
          <w:rFonts w:cs="Arial"/>
        </w:rPr>
        <w:t>).</w:t>
      </w:r>
    </w:p>
    <w:p>
      <w:pPr>
        <w:pStyle w:val="Normal"/>
        <w:spacing w:lineRule="auto" w:line="276" w:before="0" w:after="0"/>
        <w:contextualSpacing/>
        <w:jc w:val="both"/>
        <w:rPr>
          <w:rFonts w:ascii="Arial" w:hAnsi="Arial" w:cs="Arial"/>
        </w:rPr>
      </w:pPr>
      <w:r>
        <w:rPr>
          <w:rFonts w:cs="Arial"/>
        </w:rPr>
      </w:r>
    </w:p>
    <w:p>
      <w:pPr>
        <w:pStyle w:val="Heading3"/>
        <w:spacing w:before="0" w:after="0"/>
        <w:rPr>
          <w:i/>
          <w:iCs/>
        </w:rPr>
      </w:pPr>
      <w:r>
        <w:rPr>
          <w:i/>
          <w:iCs/>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4" name="Forma4"/>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27" w:name="__RefHeading___Toc8336_3056492648"/>
      <w:bookmarkStart w:id="28" w:name="_Toc230559703"/>
      <w:bookmarkStart w:id="29" w:name="_Toc229957217"/>
      <w:bookmarkEnd w:id="27"/>
      <w:r>
        <w:rPr>
          <w:rFonts w:cs="Arial" w:ascii="Arial" w:hAnsi="Arial"/>
          <w:b/>
          <w:bCs/>
        </w:rPr>
        <w:t>4 Filosofia dos a</w:t>
      </w:r>
      <w:r>
        <w:rPr>
          <w:rFonts w:cs="Arial" w:ascii="Arial" w:hAnsi="Arial"/>
          <w:b/>
          <w:bCs/>
          <w:i/>
          <w:iCs/>
        </w:rPr>
        <w:t>gents</w:t>
      </w:r>
      <w:bookmarkEnd w:id="28"/>
      <w:bookmarkEnd w:id="29"/>
    </w:p>
    <w:p>
      <w:pPr>
        <w:pStyle w:val="Normal"/>
        <w:spacing w:lineRule="auto" w:line="276" w:before="0" w:after="0"/>
        <w:ind w:firstLine="567"/>
        <w:contextualSpacing/>
        <w:jc w:val="both"/>
        <w:rPr/>
      </w:pPr>
      <w:r>
        <w:rPr/>
        <w:t xml:space="preserve">Cada </w:t>
      </w:r>
      <w:r>
        <w:rPr>
          <w:i/>
          <w:iCs/>
        </w:rPr>
        <w:t xml:space="preserve">agent </w:t>
      </w:r>
      <w:r>
        <w:rPr/>
        <w:t xml:space="preserve">opera como um submódulo de compilação independente que implementa uma </w:t>
      </w:r>
      <w:r>
        <w:rPr>
          <w:b/>
          <w:bCs/>
        </w:rPr>
        <w:t>DSL (</w:t>
      </w:r>
      <w:r>
        <w:rPr>
          <w:b/>
          <w:bCs/>
          <w:i/>
          <w:iCs/>
        </w:rPr>
        <w:t>Domain-Specific Language</w:t>
      </w:r>
      <w:r>
        <w:rPr>
          <w:b/>
          <w:bCs/>
        </w:rPr>
        <w:t>) Embutida</w:t>
      </w:r>
      <w:r>
        <w:rPr/>
        <w:t xml:space="preserve">. Enquanto o </w:t>
      </w:r>
      <w:r>
        <w:rPr>
          <w:i/>
          <w:iCs/>
        </w:rPr>
        <w:t>kernel</w:t>
      </w:r>
      <w:r>
        <w:rPr/>
        <w:t xml:space="preserve"> gerencia a topologia do fluxo, o </w:t>
      </w:r>
      <w:r>
        <w:rPr>
          <w:i/>
          <w:iCs/>
        </w:rPr>
        <w:t xml:space="preserve">agent </w:t>
      </w:r>
      <w:r>
        <w:rPr/>
        <w:t>atua como o motor de execução semântica. Suas responsabilidades arquiteturais incluem:</w:t>
      </w:r>
    </w:p>
    <w:p>
      <w:pPr>
        <w:pStyle w:val="Normal"/>
        <w:numPr>
          <w:ilvl w:val="0"/>
          <w:numId w:val="5"/>
        </w:numPr>
        <w:spacing w:lineRule="auto" w:line="276" w:before="0" w:after="0"/>
        <w:contextualSpacing/>
        <w:jc w:val="both"/>
        <w:rPr/>
      </w:pPr>
      <w:r>
        <w:rPr>
          <w:b/>
          <w:bCs/>
        </w:rPr>
        <w:t>Análise Semântica de Fronteira:</w:t>
      </w:r>
      <w:r>
        <w:rPr/>
        <w:t xml:space="preserve"> Validação rigorosa dos tipos e dimensões de dados na entrada e saída do nó de processamento.</w:t>
      </w:r>
    </w:p>
    <w:p>
      <w:pPr>
        <w:pStyle w:val="Normal"/>
        <w:numPr>
          <w:ilvl w:val="0"/>
          <w:numId w:val="5"/>
        </w:numPr>
        <w:spacing w:lineRule="auto" w:line="276" w:before="0" w:after="0"/>
        <w:contextualSpacing/>
        <w:jc w:val="both"/>
        <w:rPr/>
      </w:pPr>
      <w:r>
        <w:rPr>
          <w:b/>
          <w:bCs/>
        </w:rPr>
        <w:t>Implementação de Lógica de Domínio:</w:t>
      </w:r>
      <w:r>
        <w:rPr/>
        <w:t xml:space="preserve"> Execução das regras de negócio e algoritmos matemáticos/científicos.</w:t>
      </w:r>
    </w:p>
    <w:p>
      <w:pPr>
        <w:pStyle w:val="Normal"/>
        <w:numPr>
          <w:ilvl w:val="0"/>
          <w:numId w:val="5"/>
        </w:numPr>
        <w:spacing w:lineRule="auto" w:line="276" w:before="0" w:after="0"/>
        <w:contextualSpacing/>
        <w:jc w:val="both"/>
        <w:rPr/>
      </w:pPr>
      <w:r>
        <w:rPr>
          <w:b/>
          <w:bCs/>
        </w:rPr>
        <w:t>Geração de Código e Otimização (</w:t>
      </w:r>
      <w:r>
        <w:rPr>
          <w:b/>
          <w:bCs/>
          <w:i/>
          <w:iCs/>
        </w:rPr>
        <w:t>Lowering</w:t>
      </w:r>
      <w:r>
        <w:rPr>
          <w:b/>
          <w:bCs/>
        </w:rPr>
        <w:t>):</w:t>
      </w:r>
      <w:r>
        <w:rPr/>
        <w:t xml:space="preserve"> Aplicação de estratégias de paralelismo e </w:t>
      </w:r>
      <w:r>
        <w:rPr>
          <w:i/>
          <w:iCs/>
        </w:rPr>
        <w:t>broadcasting</w:t>
      </w:r>
      <w:r>
        <w:rPr/>
        <w:t xml:space="preserve"> em nível de hardware.</w:t>
      </w:r>
    </w:p>
    <w:p>
      <w:pPr>
        <w:pStyle w:val="Normal"/>
        <w:numPr>
          <w:ilvl w:val="0"/>
          <w:numId w:val="5"/>
        </w:numPr>
        <w:spacing w:lineRule="auto" w:line="276" w:before="0" w:after="0"/>
        <w:contextualSpacing/>
        <w:jc w:val="both"/>
        <w:rPr/>
      </w:pPr>
      <w:r>
        <w:rPr>
          <w:b/>
          <w:bCs/>
        </w:rPr>
        <w:t>Gestão de Infraestrutura (</w:t>
      </w:r>
      <w:r>
        <w:rPr>
          <w:b/>
          <w:bCs/>
          <w:i/>
          <w:iCs/>
        </w:rPr>
        <w:t>Target Dispatch</w:t>
      </w:r>
      <w:r>
        <w:rPr>
          <w:b/>
          <w:bCs/>
        </w:rPr>
        <w:t>):</w:t>
      </w:r>
      <w:r>
        <w:rPr/>
        <w:t xml:space="preserve"> Interfaceamento e despacho direto para </w:t>
      </w:r>
      <w:r>
        <w:rPr>
          <w:i/>
          <w:iCs/>
        </w:rPr>
        <w:t>backends</w:t>
      </w:r>
      <w:r>
        <w:rPr/>
        <w:t xml:space="preserve"> físicos e bibliotecas externas.</w:t>
      </w:r>
    </w:p>
    <w:p>
      <w:pPr>
        <w:pStyle w:val="Normal"/>
        <w:numPr>
          <w:ilvl w:val="0"/>
          <w:numId w:val="5"/>
        </w:numPr>
        <w:spacing w:lineRule="auto" w:line="276" w:before="0" w:after="0"/>
        <w:contextualSpacing/>
        <w:jc w:val="both"/>
        <w:rPr/>
      </w:pPr>
      <w:r>
        <w:rPr>
          <w:b/>
          <w:bCs/>
        </w:rPr>
        <w:t>Governança Estrutural:</w:t>
      </w:r>
      <w:r>
        <w:rPr/>
        <w:t xml:space="preserve"> Cumprimento de contratos semânticos irrevogáveis.</w:t>
      </w:r>
    </w:p>
    <w:p>
      <w:pPr>
        <w:pStyle w:val="Normal"/>
        <w:spacing w:lineRule="auto" w:line="276" w:before="0" w:after="0"/>
        <w:ind w:firstLine="567"/>
        <w:contextualSpacing/>
        <w:jc w:val="both"/>
        <w:rPr/>
      </w:pPr>
      <w:r>
        <w:rPr/>
        <w:t xml:space="preserve">Enquanto um </w:t>
      </w:r>
      <w:r>
        <w:rPr>
          <w:b/>
          <w:bCs/>
        </w:rPr>
        <w:t>agent</w:t>
      </w:r>
      <w:r>
        <w:rPr/>
        <w:t xml:space="preserve"> reside em um arquivo com o sufixo </w:t>
      </w:r>
      <w:r>
        <w:rPr>
          <w:b/>
          <w:bCs/>
          <w:i/>
          <w:iCs/>
        </w:rPr>
        <w:t>fdsl</w:t>
      </w:r>
      <w:r>
        <w:rPr/>
        <w:t>, por exemplo: Trigonometry.fdsl, ArtificialIntelligence.fdsl o programa principal (</w:t>
      </w:r>
      <w:r>
        <w:rPr>
          <w:b/>
          <w:bCs/>
        </w:rPr>
        <w:t>program</w:t>
      </w:r>
      <w:r>
        <w:rPr/>
        <w:t xml:space="preserve">) reside em um arquivo com o sufixo </w:t>
      </w:r>
      <w:r>
        <w:rPr>
          <w:b/>
          <w:bCs/>
          <w:i/>
          <w:iCs/>
        </w:rPr>
        <w:t>flux</w:t>
      </w:r>
      <w:r>
        <w:rPr/>
        <w:t>, por exemplo: contagem.flux, vetores.flux.</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30" w:name="__RefHeading___Toc8338_3056492648"/>
      <w:bookmarkStart w:id="31" w:name="_Toc230559704"/>
      <w:bookmarkStart w:id="32" w:name="_Toc229957218"/>
      <w:bookmarkEnd w:id="30"/>
      <w:r>
        <w:rPr>
          <w:rFonts w:cs="Arial" w:ascii="Arial" w:hAnsi="Arial"/>
        </w:rPr>
        <w:t>4.1 Contratos Semânticos</w:t>
      </w:r>
      <w:bookmarkEnd w:id="31"/>
      <w:bookmarkEnd w:id="32"/>
    </w:p>
    <w:p>
      <w:pPr>
        <w:pStyle w:val="Normal"/>
        <w:spacing w:lineRule="auto" w:line="276" w:before="0" w:after="0"/>
        <w:ind w:firstLine="567"/>
        <w:contextualSpacing/>
        <w:jc w:val="both"/>
        <w:rPr/>
      </w:pPr>
      <w:r>
        <w:rPr/>
        <w:t xml:space="preserve">Para assegurar a integridade do Grafo de Dependência de Dados, cada </w:t>
      </w:r>
      <w:r>
        <w:rPr>
          <w:i/>
          <w:iCs/>
        </w:rPr>
        <w:t>agent</w:t>
      </w:r>
      <w:r>
        <w:rPr/>
        <w:t xml:space="preserve"> expõe uma interface semântica rígida (</w:t>
      </w:r>
      <w:r>
        <w:rPr>
          <w:i/>
          <w:iCs/>
        </w:rPr>
        <w:t>Semantic Interface</w:t>
      </w:r>
      <w:r>
        <w:rPr/>
        <w:t xml:space="preserve">), que define obrigatoriamente: </w:t>
      </w:r>
    </w:p>
    <w:p>
      <w:pPr>
        <w:pStyle w:val="Normal"/>
        <w:numPr>
          <w:ilvl w:val="0"/>
          <w:numId w:val="6"/>
        </w:numPr>
        <w:spacing w:lineRule="auto" w:line="276" w:before="0" w:after="0"/>
        <w:contextualSpacing/>
        <w:jc w:val="both"/>
        <w:rPr/>
      </w:pPr>
      <w:r>
        <w:rPr>
          <w:b/>
          <w:bCs/>
        </w:rPr>
        <w:t>Limites de Entrada (</w:t>
      </w:r>
      <w:r>
        <w:rPr>
          <w:b/>
          <w:bCs/>
          <w:i/>
          <w:iCs/>
        </w:rPr>
        <w:t>Input Bounds</w:t>
      </w:r>
      <w:r>
        <w:rPr>
          <w:b/>
          <w:bCs/>
        </w:rPr>
        <w:t>):</w:t>
      </w:r>
      <w:r>
        <w:rPr/>
        <w:t xml:space="preserve"> Assinaturas de tipos, tensores e </w:t>
      </w:r>
      <w:r>
        <w:rPr>
          <w:i/>
          <w:iCs/>
        </w:rPr>
        <w:t>shapes</w:t>
      </w:r>
      <w:r>
        <w:rPr/>
        <w:t xml:space="preserve"> aceitáveis.</w:t>
      </w:r>
    </w:p>
    <w:p>
      <w:pPr>
        <w:pStyle w:val="Normal"/>
        <w:numPr>
          <w:ilvl w:val="0"/>
          <w:numId w:val="6"/>
        </w:numPr>
        <w:spacing w:lineRule="auto" w:line="276" w:before="0" w:after="0"/>
        <w:contextualSpacing/>
        <w:jc w:val="both"/>
        <w:rPr/>
      </w:pPr>
      <w:r>
        <w:rPr>
          <w:b/>
          <w:bCs/>
        </w:rPr>
        <w:t>Conjunto de Instruções Restrito:</w:t>
      </w:r>
      <w:r>
        <w:rPr/>
        <w:t xml:space="preserve"> Transformações e operações nativamente suportadas pela DSL.</w:t>
      </w:r>
    </w:p>
    <w:p>
      <w:pPr>
        <w:pStyle w:val="Normal"/>
        <w:numPr>
          <w:ilvl w:val="0"/>
          <w:numId w:val="6"/>
        </w:numPr>
        <w:spacing w:lineRule="auto" w:line="276" w:before="0" w:after="0"/>
        <w:contextualSpacing/>
        <w:jc w:val="both"/>
        <w:rPr/>
      </w:pPr>
      <w:r>
        <w:rPr>
          <w:b/>
          <w:bCs/>
        </w:rPr>
        <w:t>Garantias de Retorno (</w:t>
      </w:r>
      <w:r>
        <w:rPr>
          <w:b/>
          <w:bCs/>
          <w:i/>
          <w:iCs/>
        </w:rPr>
        <w:t>Return Signatures</w:t>
      </w:r>
      <w:r>
        <w:rPr>
          <w:b/>
          <w:bCs/>
        </w:rPr>
        <w:t>):</w:t>
      </w:r>
      <w:r>
        <w:rPr/>
        <w:t xml:space="preserve"> Funções e operações (ops) concluem sua execução obrigatoriamente através do comando emit. Em caso de sucesso, devem propagar </w:t>
      </w:r>
      <w:r>
        <w:rPr>
          <w:i/>
          <w:iCs/>
        </w:rPr>
        <w:t>emit(nice, valor, mensagem)</w:t>
      </w:r>
      <w:r>
        <w:rPr/>
        <w:t xml:space="preserve">. Em caso de falha, devem propagar </w:t>
      </w:r>
      <w:r>
        <w:rPr>
          <w:i/>
          <w:iCs/>
        </w:rPr>
        <w:t>emit(fail, valor, mensagem)</w:t>
      </w:r>
      <w:r>
        <w:rPr/>
        <w:t>.</w:t>
      </w:r>
    </w:p>
    <w:p>
      <w:pPr>
        <w:pStyle w:val="Normal"/>
        <w:numPr>
          <w:ilvl w:val="0"/>
          <w:numId w:val="6"/>
        </w:numPr>
        <w:spacing w:lineRule="auto" w:line="276" w:before="0" w:after="0"/>
        <w:contextualSpacing/>
        <w:jc w:val="both"/>
        <w:rPr/>
      </w:pPr>
      <w:r>
        <w:rPr>
          <w:b/>
          <w:bCs/>
        </w:rPr>
        <w:t>Mapeamento Estruturado de Erros:</w:t>
      </w:r>
      <w:r>
        <w:rPr/>
        <w:t xml:space="preserve"> Erros recuperáveis são instanciados via </w:t>
      </w:r>
      <w:r>
        <w:rPr>
          <w:i/>
          <w:iCs/>
        </w:rPr>
        <w:t>error(...)</w:t>
      </w:r>
      <w:r>
        <w:rPr/>
        <w:t xml:space="preserve"> e propagados pelo operador </w:t>
      </w:r>
      <w:r>
        <w:rPr>
          <w:i/>
          <w:iCs/>
        </w:rPr>
        <w:t>?</w:t>
      </w:r>
      <w:r>
        <w:rPr/>
        <w:t xml:space="preserve">. A recuperação no fluxo é gerenciada por </w:t>
      </w:r>
      <w:r>
        <w:rPr>
          <w:i/>
          <w:iCs/>
        </w:rPr>
        <w:t>catch</w:t>
      </w:r>
      <w:r>
        <w:rPr/>
        <w:t xml:space="preserve"> e </w:t>
      </w:r>
      <w:r>
        <w:rPr>
          <w:i/>
          <w:iCs/>
        </w:rPr>
        <w:t>fallback</w:t>
      </w:r>
      <w:r>
        <w:rPr/>
        <w:t xml:space="preserve">. Blocos </w:t>
      </w:r>
      <w:r>
        <w:rPr>
          <w:i/>
          <w:iCs/>
        </w:rPr>
        <w:t>ensure</w:t>
      </w:r>
      <w:r>
        <w:rPr/>
        <w:t xml:space="preserve"> são acionados isoladamente para limpeza de recursos (</w:t>
      </w:r>
      <w:r>
        <w:rPr>
          <w:i/>
          <w:iCs/>
        </w:rPr>
        <w:t>cleanup</w:t>
      </w:r>
      <w:r>
        <w:rPr/>
        <w:t xml:space="preserve">). Em cenários de falha crítica irrecuperável, o uso de </w:t>
      </w:r>
      <w:r>
        <w:rPr>
          <w:i/>
          <w:iCs/>
        </w:rPr>
        <w:t>panic(...)</w:t>
      </w:r>
      <w:r>
        <w:rPr/>
        <w:t xml:space="preserve"> aborta a execução imediatamente, contornando qualquer tentativa de captura por </w:t>
      </w:r>
      <w:r>
        <w:rPr>
          <w:i/>
          <w:iCs/>
        </w:rPr>
        <w:t>catch</w:t>
      </w:r>
      <w:r>
        <w:rPr/>
        <w:t xml:space="preserve"> ou </w:t>
      </w:r>
      <w:r>
        <w:rPr>
          <w:i/>
          <w:iCs/>
        </w:rPr>
        <w:t>fallback</w:t>
      </w:r>
      <w:r>
        <w:rPr/>
        <w:t>.</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33" w:name="__RefHeading___Toc8340_3056492648"/>
      <w:bookmarkStart w:id="34" w:name="_Toc230559705"/>
      <w:bookmarkStart w:id="35" w:name="_Toc229957219"/>
      <w:bookmarkEnd w:id="33"/>
      <w:r>
        <w:rPr>
          <w:rFonts w:cs="Arial" w:ascii="Arial" w:hAnsi="Arial"/>
        </w:rPr>
        <w:t>4.2 DSLs implementadas como a</w:t>
      </w:r>
      <w:r>
        <w:rPr>
          <w:rFonts w:cs="Arial" w:ascii="Arial" w:hAnsi="Arial"/>
          <w:i/>
          <w:iCs/>
        </w:rPr>
        <w:t>gent</w:t>
      </w:r>
      <w:r>
        <w:rPr>
          <w:rFonts w:cs="Arial" w:ascii="Arial" w:hAnsi="Arial"/>
        </w:rPr>
        <w:t>s</w:t>
      </w:r>
      <w:bookmarkEnd w:id="34"/>
      <w:bookmarkEnd w:id="35"/>
    </w:p>
    <w:p>
      <w:pPr>
        <w:pStyle w:val="Normal"/>
        <w:spacing w:lineRule="auto" w:line="276" w:before="0" w:after="0"/>
        <w:ind w:firstLine="567"/>
        <w:contextualSpacing/>
        <w:jc w:val="both"/>
        <w:rPr/>
      </w:pPr>
      <w:r>
        <w:rPr/>
        <w:t xml:space="preserve">Na arquitetura da </w:t>
      </w:r>
      <w:r>
        <w:rPr>
          <w:b/>
          <w:bCs/>
        </w:rPr>
        <w:t>FLUX</w:t>
      </w:r>
      <w:r>
        <w:rPr/>
        <w:t xml:space="preserve">, evocar um </w:t>
      </w:r>
      <w:r>
        <w:rPr>
          <w:i/>
          <w:iCs/>
        </w:rPr>
        <w:t>agent</w:t>
      </w:r>
      <w:r>
        <w:rPr/>
        <w:t xml:space="preserve"> significa realizar uma transição de contexto para uma sub-linguagem otimizada. A sintaxe operacional do </w:t>
      </w:r>
      <w:r>
        <w:rPr>
          <w:i/>
          <w:iCs/>
        </w:rPr>
        <w:t>agent</w:t>
      </w:r>
      <w:r>
        <w:rPr/>
        <w:t xml:space="preserve"> (ex: </w:t>
      </w:r>
      <w:r>
        <w:rPr>
          <w:i/>
          <w:iCs/>
        </w:rPr>
        <w:t>FooBar::OPER(dominio)</w:t>
      </w:r>
      <w:r>
        <w:rPr/>
        <w:t xml:space="preserve">) reflete essa mecânica: </w:t>
      </w:r>
    </w:p>
    <w:p>
      <w:pPr>
        <w:pStyle w:val="Normal"/>
        <w:numPr>
          <w:ilvl w:val="0"/>
          <w:numId w:val="7"/>
        </w:numPr>
        <w:spacing w:lineRule="auto" w:line="276" w:before="0" w:after="0"/>
        <w:contextualSpacing/>
        <w:jc w:val="both"/>
        <w:rPr/>
      </w:pPr>
      <w:r>
        <w:rPr>
          <w:b/>
          <w:bCs/>
        </w:rPr>
        <w:t>Vocabulário Semântico:</w:t>
      </w:r>
      <w:r>
        <w:rPr/>
        <w:t xml:space="preserve"> </w:t>
      </w:r>
      <w:r>
        <w:rPr>
          <w:i/>
          <w:iCs/>
        </w:rPr>
        <w:t>OPER</w:t>
      </w:r>
      <w:r>
        <w:rPr/>
        <w:t xml:space="preserve"> representa uma instrução exclusiva pertencente à Árvore de Sintaxe Abstrata (</w:t>
      </w:r>
      <w:r>
        <w:rPr>
          <w:i/>
          <w:iCs/>
        </w:rPr>
        <w:t>AST</w:t>
      </w:r>
      <w:r>
        <w:rPr/>
        <w:t xml:space="preserve">) interna do </w:t>
      </w:r>
      <w:r>
        <w:rPr>
          <w:i/>
          <w:iCs/>
        </w:rPr>
        <w:t>agent</w:t>
      </w:r>
      <w:r>
        <w:rPr/>
        <w:t xml:space="preserve"> FooBar.</w:t>
      </w:r>
    </w:p>
    <w:p>
      <w:pPr>
        <w:pStyle w:val="Normal"/>
        <w:numPr>
          <w:ilvl w:val="0"/>
          <w:numId w:val="7"/>
        </w:numPr>
        <w:spacing w:lineRule="auto" w:line="276" w:before="0" w:after="0"/>
        <w:contextualSpacing/>
        <w:jc w:val="both"/>
        <w:rPr/>
      </w:pPr>
      <w:r>
        <w:rPr>
          <w:b/>
          <w:bCs/>
        </w:rPr>
        <w:t>Assinatura de Operação:</w:t>
      </w:r>
      <w:r>
        <w:rPr/>
        <w:t xml:space="preserve"> Cada instrução possui regras de validação independentes para os dados que recebe e produz.</w:t>
      </w:r>
    </w:p>
    <w:p>
      <w:pPr>
        <w:pStyle w:val="Normal"/>
        <w:numPr>
          <w:ilvl w:val="0"/>
          <w:numId w:val="7"/>
        </w:numPr>
        <w:spacing w:lineRule="auto" w:line="276" w:before="0" w:after="0"/>
        <w:contextualSpacing/>
        <w:jc w:val="both"/>
        <w:rPr/>
      </w:pPr>
      <w:r>
        <w:rPr>
          <w:b/>
          <w:bCs/>
        </w:rPr>
        <w:t xml:space="preserve">Diretivas de </w:t>
      </w:r>
      <w:r>
        <w:rPr>
          <w:b/>
          <w:bCs/>
          <w:i/>
          <w:iCs/>
        </w:rPr>
        <w:t>Offloading</w:t>
      </w:r>
      <w:r>
        <w:rPr>
          <w:b/>
          <w:bCs/>
        </w:rPr>
        <w:t xml:space="preserve"> (</w:t>
      </w:r>
      <w:r>
        <w:rPr>
          <w:b/>
          <w:bCs/>
          <w:i/>
          <w:iCs/>
        </w:rPr>
        <w:t>Target Pragmas</w:t>
      </w:r>
      <w:r>
        <w:rPr>
          <w:b/>
          <w:bCs/>
        </w:rPr>
        <w:t>):</w:t>
      </w:r>
      <w:r>
        <w:rPr/>
        <w:t xml:space="preserve"> O parâmetro domínio atua como uma diretiva de compilação/execução. Ele permite forçar o roteamento físico da carga de trabalho para um acelerador de hardware específico (como CPU multithread, vetorização </w:t>
      </w:r>
      <w:r>
        <w:rPr>
          <w:i/>
          <w:iCs/>
        </w:rPr>
        <w:t>SIMD</w:t>
      </w:r>
      <w:r>
        <w:rPr/>
        <w:t xml:space="preserve">, arquitetura </w:t>
      </w:r>
      <w:r>
        <w:rPr>
          <w:i/>
          <w:iCs/>
        </w:rPr>
        <w:t>GPU</w:t>
      </w:r>
      <w:r>
        <w:rPr/>
        <w:t xml:space="preserve"> ou aceleração via </w:t>
      </w:r>
      <w:r>
        <w:rPr>
          <w:i/>
          <w:iCs/>
        </w:rPr>
        <w:t>MKL</w:t>
      </w:r>
      <w:r>
        <w:rPr/>
        <w:t xml:space="preserve">). Caso a diretiva seja omitida, o </w:t>
      </w:r>
      <w:r>
        <w:rPr>
          <w:i/>
          <w:iCs/>
        </w:rPr>
        <w:t>agent</w:t>
      </w:r>
      <w:r>
        <w:rPr/>
        <w:t xml:space="preserve"> invoca sua heurística interna (</w:t>
      </w:r>
      <w:r>
        <w:rPr>
          <w:i/>
          <w:iCs/>
        </w:rPr>
        <w:t>Default Target Dispatch</w:t>
      </w:r>
      <w:r>
        <w:rPr/>
        <w:t>) para definir a estratégia de execução mais vantajosa.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rFonts w:ascii="Arial" w:hAnsi="Arial"/>
          <w:sz w:val="24"/>
          <w:szCs w:val="24"/>
        </w:rPr>
      </w:pPr>
      <w:r>
        <w:rPr>
          <w:rFonts w:ascii="Arial" w:hAnsi="Arial"/>
          <w:sz w:val="24"/>
          <w:szCs w:val="24"/>
        </w:rPr>
      </w:r>
      <w:r>
        <w:br w:type="page"/>
      </w:r>
    </w:p>
    <w:p>
      <w:pPr>
        <w:pStyle w:val="Normal"/>
        <w:spacing w:before="0" w:after="0"/>
        <w:jc w:val="both"/>
        <w:rPr>
          <w:b/>
          <w:bCs/>
        </w:rPr>
      </w:pPr>
      <w:r>
        <w:rPr/>
        <mc:AlternateContent>
          <mc:Choice Requires="wps">
            <w:drawing>
              <wp:inline distT="0" distB="0" distL="0" distR="0">
                <wp:extent cx="5400040" cy="19050"/>
                <wp:effectExtent l="114300" t="0" r="114300" b="0"/>
                <wp:docPr id="5" name="Forma5"/>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before="0" w:after="0"/>
        <w:jc w:val="both"/>
        <w:rPr/>
      </w:pPr>
      <w:bookmarkStart w:id="36" w:name="__RefHeading___Toc8342_3056492648"/>
      <w:bookmarkStart w:id="37" w:name="_Toc230559706"/>
      <w:bookmarkStart w:id="38" w:name="_Toc229957221"/>
      <w:bookmarkEnd w:id="36"/>
      <w:r>
        <w:rPr>
          <w:rFonts w:cs="Arial" w:ascii="Arial" w:hAnsi="Arial"/>
          <w:b/>
          <w:bCs/>
        </w:rPr>
        <w:t>5 Filosofia do Fluxo</w:t>
      </w:r>
      <w:bookmarkEnd w:id="37"/>
      <w:bookmarkEnd w:id="38"/>
    </w:p>
    <w:p>
      <w:pPr>
        <w:pStyle w:val="Normal"/>
        <w:spacing w:lineRule="auto" w:line="276" w:before="0" w:after="0"/>
        <w:ind w:firstLine="567"/>
        <w:contextualSpacing/>
        <w:jc w:val="both"/>
        <w:rPr/>
      </w:pPr>
      <w:r>
        <w:rPr/>
        <w:t xml:space="preserve">O modelo de execução da </w:t>
      </w:r>
      <w:r>
        <w:rPr>
          <w:b/>
          <w:bCs/>
        </w:rPr>
        <w:t xml:space="preserve">FLUX </w:t>
      </w:r>
      <w:r>
        <w:rPr/>
        <w:t xml:space="preserve">baseia-se na coexistência de estratégias híbridas de avaliação computacional, otimizando o processamento ao dividir o comportamento do </w:t>
      </w:r>
      <w:r>
        <w:rPr>
          <w:i/>
          <w:iCs/>
        </w:rPr>
        <w:t>pipeline</w:t>
      </w:r>
      <w:r>
        <w:rPr/>
        <w:t xml:space="preserve"> entre o </w:t>
      </w:r>
      <w:r>
        <w:rPr>
          <w:i/>
          <w:iCs/>
        </w:rPr>
        <w:t>kernel</w:t>
      </w:r>
      <w:r>
        <w:rPr/>
        <w:t xml:space="preserve"> e os </w:t>
      </w:r>
      <w:r>
        <w:rPr>
          <w:i/>
          <w:iCs/>
        </w:rPr>
        <w:t>agents</w:t>
      </w:r>
      <w:r>
        <w:rPr/>
        <w:t>:</w:t>
      </w:r>
    </w:p>
    <w:p>
      <w:pPr>
        <w:pStyle w:val="ListParagraph"/>
        <w:numPr>
          <w:ilvl w:val="0"/>
          <w:numId w:val="9"/>
        </w:numPr>
        <w:spacing w:lineRule="auto" w:line="276"/>
        <w:ind w:hanging="360" w:left="709"/>
        <w:jc w:val="both"/>
        <w:rPr/>
      </w:pPr>
      <w:r>
        <w:rPr>
          <w:b/>
          <w:bCs/>
        </w:rPr>
        <w:t>Avaliação Híbrida (</w:t>
      </w:r>
      <w:r>
        <w:rPr>
          <w:b/>
          <w:bCs/>
          <w:i/>
          <w:iCs/>
        </w:rPr>
        <w:t>Eager-Lazy Coexistence</w:t>
      </w:r>
      <w:r>
        <w:rPr>
          <w:b/>
          <w:bCs/>
        </w:rPr>
        <w:t>):</w:t>
      </w:r>
      <w:r>
        <w:rPr/>
        <w:t xml:space="preserve"> O </w:t>
      </w:r>
      <w:r>
        <w:rPr>
          <w:i/>
          <w:iCs/>
        </w:rPr>
        <w:t>kernel</w:t>
      </w:r>
      <w:r>
        <w:rPr/>
        <w:t xml:space="preserve"> da linguagem adota uma estratégia de avaliação estrita (</w:t>
      </w:r>
      <w:r>
        <w:rPr>
          <w:i/>
          <w:iCs/>
        </w:rPr>
        <w:t>eager evaluation</w:t>
      </w:r>
      <w:r>
        <w:rPr/>
        <w:t xml:space="preserve">), resolvendo a topologia do grafo e despachando os dados de forma imediata. Em contrapartida, os </w:t>
      </w:r>
      <w:r>
        <w:rPr>
          <w:i/>
          <w:iCs/>
        </w:rPr>
        <w:t>agents</w:t>
      </w:r>
      <w:r>
        <w:rPr/>
        <w:t xml:space="preserve"> possuem autonomia para implementar internamente a avaliação tardia (</w:t>
      </w:r>
      <w:r>
        <w:rPr>
          <w:i/>
          <w:iCs/>
        </w:rPr>
        <w:t>lazy evaluation</w:t>
      </w:r>
      <w:r>
        <w:rPr/>
        <w:t xml:space="preserve">). Essa abordagem permite que o </w:t>
      </w:r>
      <w:r>
        <w:rPr>
          <w:i/>
          <w:iCs/>
        </w:rPr>
        <w:t>agent</w:t>
      </w:r>
      <w:r>
        <w:rPr/>
        <w:t xml:space="preserve"> acumule operações e execute otimizações avançadas em tempo de execução — tais como fusão de laços (</w:t>
      </w:r>
      <w:r>
        <w:rPr>
          <w:i/>
          <w:iCs/>
        </w:rPr>
        <w:t>loop fusion</w:t>
      </w:r>
      <w:r>
        <w:rPr/>
        <w:t>), eliminação de código morto (</w:t>
      </w:r>
      <w:r>
        <w:rPr>
          <w:i/>
          <w:iCs/>
        </w:rPr>
        <w:t>dead code elimination</w:t>
      </w:r>
      <w:r>
        <w:rPr/>
        <w:t>) e minimização de alocação de memória temporária antes da computação física do bloco.</w:t>
      </w:r>
    </w:p>
    <w:p>
      <w:pPr>
        <w:pStyle w:val="ListParagraph"/>
        <w:numPr>
          <w:ilvl w:val="0"/>
          <w:numId w:val="9"/>
        </w:numPr>
        <w:spacing w:lineRule="auto" w:line="276"/>
        <w:ind w:hanging="360" w:left="709"/>
        <w:jc w:val="both"/>
        <w:rPr/>
      </w:pPr>
      <w:r>
        <w:rPr>
          <w:b/>
          <w:bCs/>
        </w:rPr>
        <w:t>Aderência a Cargas de Trabalho Complexas:</w:t>
      </w:r>
      <w:r>
        <w:rPr/>
        <w:t xml:space="preserve"> Esse modelo de avaliação assimétrica fornece a infraestrutura ideal para o desenvolvimento de </w:t>
      </w:r>
      <w:r>
        <w:rPr>
          <w:i/>
          <w:iCs/>
        </w:rPr>
        <w:t>pipelines</w:t>
      </w:r>
      <w:r>
        <w:rPr/>
        <w:t xml:space="preserve"> científicas, processamento de dados massivos (</w:t>
      </w:r>
      <w:r>
        <w:rPr>
          <w:i/>
          <w:iCs/>
        </w:rPr>
        <w:t>Dataflow</w:t>
      </w:r>
      <w:r>
        <w:rPr/>
        <w:t>), Inteligência Artificial (IA), Computação de Alto Desempenho (HPC), computação distribuída e ambientes de computação heterogênea.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39" w:name="__RefHeading___Toc8344_3056492648"/>
      <w:bookmarkStart w:id="40" w:name="_Toc230559707"/>
      <w:bookmarkStart w:id="41" w:name="_Toc229957222"/>
      <w:bookmarkEnd w:id="39"/>
      <w:r>
        <w:rPr>
          <w:rFonts w:cs="Arial" w:ascii="Arial" w:hAnsi="Arial"/>
        </w:rPr>
        <w:t>5.1 Mecânica do Operador Pipe (--&gt;)</w:t>
      </w:r>
      <w:bookmarkEnd w:id="40"/>
      <w:bookmarkEnd w:id="41"/>
    </w:p>
    <w:p>
      <w:pPr>
        <w:pStyle w:val="Normal"/>
        <w:spacing w:lineRule="auto" w:line="276" w:before="0" w:after="0"/>
        <w:ind w:firstLine="567"/>
        <w:contextualSpacing/>
        <w:jc w:val="both"/>
        <w:rPr/>
      </w:pPr>
      <w:r>
        <w:rPr/>
        <w:t>O operador infixo (--&gt;) constitui o núcleo semântico da linguagem e atua como a primitiva de conectividade estrutural do paradigma de fluxo de dados.</w:t>
      </w:r>
    </w:p>
    <w:p>
      <w:pPr>
        <w:pStyle w:val="ListParagraph"/>
        <w:numPr>
          <w:ilvl w:val="0"/>
          <w:numId w:val="10"/>
        </w:numPr>
        <w:spacing w:lineRule="auto" w:line="276"/>
        <w:jc w:val="both"/>
        <w:rPr/>
      </w:pPr>
      <w:r>
        <w:rPr>
          <w:b/>
          <w:bCs/>
        </w:rPr>
        <w:t>Fluxo de Dados Direcionado:</w:t>
      </w:r>
      <w:r>
        <w:rPr/>
        <w:t xml:space="preserve"> Sua função sintática é mapear arestas direcionadas (</w:t>
      </w:r>
      <w:r>
        <w:rPr>
          <w:i/>
          <w:iCs/>
        </w:rPr>
        <w:t>edges</w:t>
      </w:r>
      <w:r>
        <w:rPr/>
        <w:t>) em um Grafo de Dependência de Dados (DFG), encaminhando a saída (</w:t>
      </w:r>
      <w:r>
        <w:rPr>
          <w:i/>
          <w:iCs/>
        </w:rPr>
        <w:t>output</w:t>
      </w:r>
      <w:r>
        <w:rPr/>
        <w:t>) e transferindo a posse de memória (</w:t>
      </w:r>
      <w:r>
        <w:rPr>
          <w:i/>
          <w:iCs/>
        </w:rPr>
        <w:t>ownership</w:t>
      </w:r>
      <w:r>
        <w:rPr/>
        <w:t xml:space="preserve">) do nó predecessor diretamente para o nó sucessor. </w:t>
      </w:r>
    </w:p>
    <w:p>
      <w:pPr>
        <w:pStyle w:val="ListParagraph"/>
        <w:numPr>
          <w:ilvl w:val="0"/>
          <w:numId w:val="10"/>
        </w:numPr>
        <w:spacing w:lineRule="auto" w:line="276"/>
        <w:jc w:val="both"/>
        <w:rPr/>
      </w:pPr>
      <w:r>
        <w:rPr>
          <w:b/>
          <w:bCs/>
        </w:rPr>
        <w:t>Propagação de Erros por Curto-Circuito (</w:t>
      </w:r>
      <w:r>
        <w:rPr>
          <w:b/>
          <w:bCs/>
          <w:i/>
          <w:iCs/>
        </w:rPr>
        <w:t>Monadic Error Handling</w:t>
      </w:r>
      <w:r>
        <w:rPr>
          <w:b/>
          <w:bCs/>
        </w:rPr>
        <w:t>):</w:t>
      </w:r>
      <w:r>
        <w:rPr/>
        <w:t xml:space="preserve"> O </w:t>
      </w:r>
      <w:r>
        <w:rPr>
          <w:i/>
          <w:iCs/>
        </w:rPr>
        <w:t>operador (--&gt;)</w:t>
      </w:r>
      <w:r>
        <w:rPr/>
        <w:t xml:space="preserve"> implementa uma semântica de resiliência linear. Caso um </w:t>
      </w:r>
      <w:r>
        <w:rPr>
          <w:i/>
          <w:iCs/>
        </w:rPr>
        <w:t>agent</w:t>
      </w:r>
      <w:r>
        <w:rPr/>
        <w:t xml:space="preserve"> interrompa o fluxo com </w:t>
      </w:r>
      <w:r>
        <w:rPr>
          <w:i/>
          <w:iCs/>
        </w:rPr>
        <w:t>emit(fail, valor, mensagem)</w:t>
      </w:r>
      <w:r>
        <w:rPr/>
        <w:t xml:space="preserve"> ou propague uma falha com o operador </w:t>
      </w:r>
      <w:r>
        <w:rPr>
          <w:i/>
          <w:iCs/>
        </w:rPr>
        <w:t>?</w:t>
      </w:r>
      <w:r>
        <w:rPr/>
        <w:t xml:space="preserve">, o erro viaja imediatamente pela esteira. Os </w:t>
      </w:r>
      <w:r>
        <w:rPr>
          <w:i/>
          <w:iCs/>
        </w:rPr>
        <w:t>agents</w:t>
      </w:r>
      <w:r>
        <w:rPr/>
        <w:t xml:space="preserve"> subsequentes bloqueiam suas execuções físicas até que o erro seja interceptado e tratado por uma diretiva </w:t>
      </w:r>
      <w:r>
        <w:rPr>
          <w:i/>
          <w:iCs/>
        </w:rPr>
        <w:t>catch</w:t>
      </w:r>
      <w:r>
        <w:rPr/>
        <w:t xml:space="preserve"> ou </w:t>
      </w:r>
      <w:r>
        <w:rPr>
          <w:i/>
          <w:iCs/>
        </w:rPr>
        <w:t>fallback</w:t>
      </w:r>
      <w:r>
        <w:rPr/>
        <w:t>.</w:t>
      </w:r>
    </w:p>
    <w:p>
      <w:pPr>
        <w:pStyle w:val="Normal"/>
        <w:spacing w:lineRule="auto" w:line="276" w:before="0" w:after="0"/>
        <w:contextualSpacing/>
        <w:jc w:val="both"/>
        <w:rPr/>
      </w:pPr>
      <w:r>
        <w:rPr/>
      </w:r>
    </w:p>
    <w:p>
      <w:pPr>
        <w:pStyle w:val="Normal"/>
        <w:spacing w:lineRule="auto" w:line="276" w:before="0" w:after="0"/>
        <w:contextualSpacing/>
        <w:jc w:val="both"/>
        <w:rPr>
          <w:highlight w:val="yellow"/>
        </w:rPr>
      </w:pPr>
      <w:r>
        <w:rPr>
          <w:highlight w:val="yellow"/>
        </w:rPr>
      </w:r>
    </w:p>
    <w:p>
      <w:pPr>
        <w:pStyle w:val="Heading2"/>
        <w:spacing w:lineRule="auto" w:line="276" w:before="0" w:after="0"/>
        <w:contextualSpacing/>
        <w:jc w:val="both"/>
        <w:rPr/>
      </w:pPr>
      <w:bookmarkStart w:id="42" w:name="__RefHeading___Toc8346_3056492648"/>
      <w:bookmarkStart w:id="43" w:name="_Toc230559708"/>
      <w:bookmarkStart w:id="44" w:name="_Toc229957223"/>
      <w:bookmarkEnd w:id="42"/>
      <w:r>
        <w:rPr>
          <w:rFonts w:cs="Arial" w:ascii="Arial" w:hAnsi="Arial"/>
        </w:rPr>
        <w:t>5.2 Equivalência Semântica</w:t>
      </w:r>
      <w:bookmarkEnd w:id="43"/>
      <w:bookmarkEnd w:id="44"/>
    </w:p>
    <w:p>
      <w:pPr>
        <w:pStyle w:val="Normal"/>
        <w:spacing w:lineRule="auto" w:line="276" w:before="0" w:after="0"/>
        <w:ind w:firstLine="567"/>
        <w:contextualSpacing/>
        <w:jc w:val="both"/>
        <w:rPr/>
      </w:pPr>
      <w:r>
        <w:rPr/>
        <w:t xml:space="preserve">A especificação gramatical da </w:t>
      </w:r>
      <w:r>
        <w:rPr>
          <w:b/>
          <w:bCs/>
        </w:rPr>
        <w:t xml:space="preserve">FLUX </w:t>
      </w:r>
      <w:r>
        <w:rPr/>
        <w:t xml:space="preserve">estabelece um </w:t>
      </w:r>
      <w:r>
        <w:rPr>
          <w:b/>
          <w:bCs/>
        </w:rPr>
        <w:t>Isomorfismo Sintático</w:t>
      </w:r>
      <w:r>
        <w:rPr/>
        <w:t xml:space="preserve"> entre as abordagens de codificação, garantindo que diferentes representações textuais convirjam para o mesmo resultado computacional:</w:t>
      </w:r>
    </w:p>
    <w:p>
      <w:pPr>
        <w:pStyle w:val="ListParagraph"/>
        <w:numPr>
          <w:ilvl w:val="0"/>
          <w:numId w:val="8"/>
        </w:numPr>
        <w:spacing w:lineRule="auto" w:line="276"/>
        <w:ind w:hanging="360" w:left="709"/>
        <w:jc w:val="both"/>
        <w:rPr/>
      </w:pPr>
      <w:r>
        <w:rPr>
          <w:b/>
          <w:bCs/>
        </w:rPr>
        <w:t>Equivalência Absoluta:</w:t>
      </w:r>
      <w:r>
        <w:rPr/>
        <w:t xml:space="preserve"> A sintaxe baseada em fluxo (</w:t>
      </w:r>
      <w:r>
        <w:rPr>
          <w:i/>
          <w:iCs/>
        </w:rPr>
        <w:t>pipe notation</w:t>
      </w:r>
      <w:r>
        <w:rPr/>
        <w:t>) e a sintaxe baseada em chamadas tradicionais (</w:t>
      </w:r>
      <w:r>
        <w:rPr>
          <w:i/>
          <w:iCs/>
        </w:rPr>
        <w:t>functional notation</w:t>
      </w:r>
      <w:r>
        <w:rPr/>
        <w:t>) possuem equivalência semântica absoluta. O analisador sintático (</w:t>
      </w:r>
      <w:r>
        <w:rPr>
          <w:i/>
          <w:iCs/>
        </w:rPr>
        <w:t>parser</w:t>
      </w:r>
      <w:r>
        <w:rPr/>
        <w:t xml:space="preserve">) do compilador traduz ambas as construções para uma estrutura idêntica na Árvore de Sintaxe Abstrata (AST) intermediária, assegurando o mesmo Grafo de Dependência de Dados, os mesmos tempos de vida de variáveis e idêntica performance de execução no subsistema de </w:t>
      </w:r>
      <w:r>
        <w:rPr>
          <w:i/>
          <w:iCs/>
        </w:rPr>
        <w:t>lowering</w:t>
      </w:r>
      <w:r>
        <w:rPr/>
        <w:t>.</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6" name="Forma6"/>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45" w:name="__RefHeading___Toc8348_3056492648"/>
      <w:bookmarkStart w:id="46" w:name="_Toc230559709"/>
      <w:bookmarkStart w:id="47" w:name="_Toc229957225"/>
      <w:bookmarkEnd w:id="45"/>
      <w:r>
        <w:rPr>
          <w:rFonts w:cs="Arial" w:ascii="Arial" w:hAnsi="Arial"/>
          <w:b/>
          <w:bCs/>
        </w:rPr>
        <w:t>6 Filosofia do Runtime</w:t>
      </w:r>
      <w:bookmarkEnd w:id="46"/>
      <w:bookmarkEnd w:id="47"/>
    </w:p>
    <w:p>
      <w:pPr>
        <w:pStyle w:val="Normal"/>
        <w:spacing w:lineRule="auto" w:line="276" w:before="0" w:after="0"/>
        <w:ind w:firstLine="567"/>
        <w:contextualSpacing/>
        <w:jc w:val="both"/>
        <w:rPr/>
      </w:pPr>
      <w:r>
        <w:rPr/>
        <w:t>O ambiente de tempo de execução (</w:t>
      </w:r>
      <w:r>
        <w:rPr>
          <w:i/>
          <w:iCs/>
        </w:rPr>
        <w:t>runtime</w:t>
      </w:r>
      <w:r>
        <w:rPr/>
        <w:t xml:space="preserve">) da </w:t>
      </w:r>
      <w:r>
        <w:rPr>
          <w:b/>
          <w:bCs/>
        </w:rPr>
        <w:t xml:space="preserve">FLUX </w:t>
      </w:r>
      <w:r>
        <w:rPr/>
        <w:t xml:space="preserve">funciona como o motor de orquestração de baixo nível, responsável por converter a topologia puramente lógica do grafo de fluxo de dados em operações físicas coordenadas e de alta performance. Em vez de atuar de maneira passiva, o </w:t>
      </w:r>
      <w:r>
        <w:rPr>
          <w:i/>
          <w:iCs/>
        </w:rPr>
        <w:t>runtime</w:t>
      </w:r>
      <w:r>
        <w:rPr/>
        <w:t xml:space="preserve"> intervém de forma ativa e dinâmica na execução do programa por meio de cinco subsistemas fundamentais:</w:t>
      </w:r>
    </w:p>
    <w:p>
      <w:pPr>
        <w:pStyle w:val="Normal"/>
        <w:numPr>
          <w:ilvl w:val="0"/>
          <w:numId w:val="11"/>
        </w:numPr>
        <w:spacing w:lineRule="auto" w:line="276" w:before="0" w:after="0"/>
        <w:contextualSpacing/>
        <w:jc w:val="both"/>
        <w:rPr/>
      </w:pPr>
      <w:r>
        <w:rPr>
          <w:b/>
          <w:bCs/>
        </w:rPr>
        <w:t>Coordenador Estrutural:</w:t>
      </w:r>
      <w:r>
        <w:rPr/>
        <w:t xml:space="preserve"> Atua como o administrador e validador da topologia de execução, assegurando a integridade e a consistência estrutural das </w:t>
      </w:r>
      <w:r>
        <w:rPr>
          <w:i/>
          <w:iCs/>
        </w:rPr>
        <w:t>pipelines</w:t>
      </w:r>
      <w:r>
        <w:rPr/>
        <w:t xml:space="preserve"> enquanto as matrizes e fluxos de dados transitam pelos nós do grafo. </w:t>
      </w:r>
    </w:p>
    <w:p>
      <w:pPr>
        <w:pStyle w:val="Normal"/>
        <w:numPr>
          <w:ilvl w:val="0"/>
          <w:numId w:val="11"/>
        </w:numPr>
        <w:spacing w:lineRule="auto" w:line="276" w:before="0" w:after="0"/>
        <w:contextualSpacing/>
        <w:jc w:val="both"/>
        <w:rPr/>
      </w:pPr>
      <w:r>
        <w:rPr>
          <w:b/>
          <w:bCs/>
        </w:rPr>
        <w:t>Analisador de Dependência:</w:t>
      </w:r>
      <w:r>
        <w:rPr/>
        <w:t xml:space="preserve"> Executa o rastreamento contínuo de dependências de dados em tempo de execução (</w:t>
      </w:r>
      <w:r>
        <w:rPr>
          <w:i/>
          <w:iCs/>
        </w:rPr>
        <w:t>runtime hazard detection</w:t>
      </w:r>
      <w:r>
        <w:rPr/>
        <w:t xml:space="preserve">), determinando as precedências operacionais e garantindo a sincronização e o determinismo biunívoco em bifurcações de concorrência massiva. </w:t>
      </w:r>
    </w:p>
    <w:p>
      <w:pPr>
        <w:pStyle w:val="Normal"/>
        <w:numPr>
          <w:ilvl w:val="0"/>
          <w:numId w:val="11"/>
        </w:numPr>
        <w:spacing w:lineRule="auto" w:line="276" w:before="0" w:after="0"/>
        <w:contextualSpacing/>
        <w:jc w:val="both"/>
        <w:rPr/>
      </w:pPr>
      <w:r>
        <w:rPr>
          <w:b/>
          <w:bCs/>
        </w:rPr>
        <w:t xml:space="preserve">Gerenciador de </w:t>
      </w:r>
      <w:r>
        <w:rPr>
          <w:b/>
          <w:bCs/>
          <w:i/>
          <w:iCs/>
        </w:rPr>
        <w:t>Lifetime</w:t>
      </w:r>
      <w:r>
        <w:rPr>
          <w:b/>
          <w:bCs/>
        </w:rPr>
        <w:t>:</w:t>
      </w:r>
      <w:r>
        <w:rPr/>
        <w:t xml:space="preserve"> Subsistema encarregado de aplicar as regras de sobrevivência e tempo de vida de variáveis (</w:t>
      </w:r>
      <w:r>
        <w:rPr>
          <w:i/>
          <w:iCs/>
        </w:rPr>
        <w:t>liveness analysis</w:t>
      </w:r>
      <w:r>
        <w:rPr/>
        <w:t xml:space="preserve">), monitorando a persistência das alocações na memória física e identificando o momento exato em que um dado deixa de ser referenciado no fluxo. </w:t>
      </w:r>
    </w:p>
    <w:p>
      <w:pPr>
        <w:pStyle w:val="Normal"/>
        <w:numPr>
          <w:ilvl w:val="0"/>
          <w:numId w:val="11"/>
        </w:numPr>
        <w:spacing w:lineRule="auto" w:line="276" w:before="0" w:after="0"/>
        <w:contextualSpacing/>
        <w:jc w:val="both"/>
        <w:rPr/>
      </w:pPr>
      <w:r>
        <w:rPr>
          <w:b/>
          <w:bCs/>
        </w:rPr>
        <w:t xml:space="preserve">Reciclador de </w:t>
      </w:r>
      <w:r>
        <w:rPr>
          <w:b/>
          <w:bCs/>
          <w:i/>
          <w:iCs/>
        </w:rPr>
        <w:t>Buffers</w:t>
      </w:r>
      <w:r>
        <w:rPr>
          <w:b/>
          <w:bCs/>
        </w:rPr>
        <w:t>:</w:t>
      </w:r>
      <w:r>
        <w:rPr/>
        <w:t xml:space="preserve"> Motor de otimização de memória (</w:t>
      </w:r>
      <w:r>
        <w:rPr>
          <w:i/>
          <w:iCs/>
        </w:rPr>
        <w:t>Arena Allocator</w:t>
      </w:r>
      <w:r>
        <w:rPr/>
        <w:t xml:space="preserve">) que intercepta </w:t>
      </w:r>
      <w:r>
        <w:rPr>
          <w:i/>
          <w:iCs/>
        </w:rPr>
        <w:t>buffers</w:t>
      </w:r>
      <w:r>
        <w:rPr/>
        <w:t xml:space="preserve"> temporários, matrizes auxiliares e </w:t>
      </w:r>
      <w:r>
        <w:rPr>
          <w:i/>
          <w:iCs/>
        </w:rPr>
        <w:t>workspaces</w:t>
      </w:r>
      <w:r>
        <w:rPr/>
        <w:t xml:space="preserve"> descartados, reciclando instantaneamente esses blocos de memória para novas operações de forma a neutralizar o custo de desalocação e prevenir a fragmentação do sistema. </w:t>
      </w:r>
    </w:p>
    <w:p>
      <w:pPr>
        <w:pStyle w:val="Normal"/>
        <w:numPr>
          <w:ilvl w:val="0"/>
          <w:numId w:val="11"/>
        </w:numPr>
        <w:spacing w:lineRule="auto" w:line="276" w:before="0" w:after="0"/>
        <w:contextualSpacing/>
        <w:jc w:val="both"/>
        <w:rPr/>
      </w:pPr>
      <w:r>
        <w:rPr>
          <w:b/>
          <w:bCs/>
        </w:rPr>
        <w:t xml:space="preserve">Despachante de </w:t>
      </w:r>
      <w:r>
        <w:rPr>
          <w:b/>
          <w:bCs/>
          <w:i/>
          <w:iCs/>
        </w:rPr>
        <w:t>Agent</w:t>
      </w:r>
      <w:r>
        <w:rPr>
          <w:b/>
          <w:bCs/>
        </w:rPr>
        <w:t>:</w:t>
      </w:r>
      <w:r>
        <w:rPr/>
        <w:t xml:space="preserve"> Mecanismo de despacho e escalonamento dinâmico (</w:t>
      </w:r>
      <w:r>
        <w:rPr>
          <w:i/>
          <w:iCs/>
        </w:rPr>
        <w:t>dynamic dispatch and scheduling engine</w:t>
      </w:r>
      <w:r>
        <w:rPr/>
        <w:t>) responsável por rotear as cargas de trabalho para as sub-linguagens de contexto (DSLs) e gerenciar a alternância física de execução entre diferentes famílias de hardware.</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48" w:name="__RefHeading___Toc8350_3056492648"/>
      <w:bookmarkStart w:id="49" w:name="_Toc230559710"/>
      <w:bookmarkStart w:id="50" w:name="_Toc229957226"/>
      <w:bookmarkEnd w:id="48"/>
      <w:r>
        <w:rPr>
          <w:rFonts w:cs="Arial" w:ascii="Arial" w:hAnsi="Arial"/>
        </w:rPr>
        <w:t>6.1 Filosofia de Memória</w:t>
      </w:r>
      <w:bookmarkEnd w:id="49"/>
      <w:bookmarkEnd w:id="50"/>
    </w:p>
    <w:p>
      <w:pPr>
        <w:pStyle w:val="Normal"/>
        <w:spacing w:lineRule="auto" w:line="276" w:before="0" w:after="0"/>
        <w:ind w:firstLine="567"/>
        <w:contextualSpacing/>
        <w:jc w:val="both"/>
        <w:rPr/>
      </w:pPr>
      <w:r>
        <w:rPr/>
        <w:t xml:space="preserve">A </w:t>
      </w:r>
      <w:r>
        <w:rPr>
          <w:b/>
          <w:bCs/>
        </w:rPr>
        <w:t xml:space="preserve">FLUX </w:t>
      </w:r>
      <w:r>
        <w:rPr/>
        <w:t xml:space="preserve">implementa um modelo determinístico de </w:t>
      </w:r>
      <w:r>
        <w:rPr>
          <w:b/>
          <w:bCs/>
        </w:rPr>
        <w:t>Gerenciamento Automático Orientado a Fluxo</w:t>
      </w:r>
      <w:r>
        <w:rPr/>
        <w:t xml:space="preserve"> (</w:t>
      </w:r>
      <w:r>
        <w:rPr>
          <w:i/>
          <w:iCs/>
        </w:rPr>
        <w:t>Dataflow-Driven Memory Management</w:t>
      </w:r>
      <w:r>
        <w:rPr/>
        <w:t>). Essa arquitetura de baixo nível delega a liberação de recursos à análise topológica do compilador, eliminando gargalos clássicos e estruturas de controle sintático, tais como:</w:t>
      </w:r>
    </w:p>
    <w:p>
      <w:pPr>
        <w:pStyle w:val="Normal"/>
        <w:numPr>
          <w:ilvl w:val="0"/>
          <w:numId w:val="12"/>
        </w:numPr>
        <w:spacing w:lineRule="auto" w:line="276" w:before="0" w:after="0"/>
        <w:contextualSpacing/>
        <w:jc w:val="both"/>
        <w:rPr/>
      </w:pPr>
      <w:r>
        <w:rPr>
          <w:b/>
          <w:bCs/>
        </w:rPr>
        <w:t>Gerenciamento Manual de Memória:</w:t>
      </w:r>
      <w:r>
        <w:rPr/>
        <w:t xml:space="preserve"> O compilador proíbe e suprime a necessidade de diretivas imperativas de liberação de ponteiros (como operações de free e delete nativas de linguagens como C/C++).</w:t>
      </w:r>
    </w:p>
    <w:p>
      <w:pPr>
        <w:pStyle w:val="Normal"/>
        <w:numPr>
          <w:ilvl w:val="0"/>
          <w:numId w:val="12"/>
        </w:numPr>
        <w:spacing w:lineRule="auto" w:line="276" w:before="0" w:after="0"/>
        <w:contextualSpacing/>
        <w:jc w:val="both"/>
        <w:rPr/>
      </w:pPr>
      <w:r>
        <w:rPr>
          <w:b/>
          <w:bCs/>
        </w:rPr>
        <w:t>Rastreamento em Tempo de Execução:</w:t>
      </w:r>
      <w:r>
        <w:rPr/>
        <w:t xml:space="preserve"> Descarta a implementação de um </w:t>
      </w:r>
      <w:r>
        <w:rPr>
          <w:i/>
          <w:iCs/>
        </w:rPr>
        <w:t>Garbage Collector</w:t>
      </w:r>
      <w:r>
        <w:rPr/>
        <w:t xml:space="preserve"> tradicional, neutralizando o </w:t>
      </w:r>
      <w:r>
        <w:rPr>
          <w:i/>
          <w:iCs/>
        </w:rPr>
        <w:t>overhead</w:t>
      </w:r>
      <w:r>
        <w:rPr/>
        <w:t xml:space="preserve"> não determinístico e as pausas de execução (</w:t>
      </w:r>
      <w:r>
        <w:rPr>
          <w:i/>
          <w:iCs/>
        </w:rPr>
        <w:t>stop-the-world</w:t>
      </w:r>
      <w:r>
        <w:rPr/>
        <w:t>) prejudiciais em ambientes de alta performance.</w:t>
      </w:r>
    </w:p>
    <w:p>
      <w:pPr>
        <w:pStyle w:val="Normal"/>
        <w:numPr>
          <w:ilvl w:val="0"/>
          <w:numId w:val="12"/>
        </w:numPr>
        <w:spacing w:lineRule="auto" w:line="276" w:before="0" w:after="0"/>
        <w:contextualSpacing/>
        <w:jc w:val="both"/>
        <w:rPr/>
      </w:pPr>
      <w:r>
        <w:rPr>
          <w:b/>
          <w:bCs/>
        </w:rPr>
        <w:t>Semântica de Posse Rígida:</w:t>
      </w:r>
      <w:r>
        <w:rPr/>
        <w:t xml:space="preserve"> Substitui a sobrecarga cognitiva de gerenciar sistemas de </w:t>
      </w:r>
      <w:r>
        <w:rPr>
          <w:i/>
          <w:iCs/>
        </w:rPr>
        <w:t>ownership</w:t>
      </w:r>
      <w:r>
        <w:rPr/>
        <w:t xml:space="preserve"> explícito e </w:t>
      </w:r>
      <w:r>
        <w:rPr>
          <w:i/>
          <w:iCs/>
        </w:rPr>
        <w:t>borrowing</w:t>
      </w:r>
      <w:r>
        <w:rPr/>
        <w:t xml:space="preserve"> complexos por uma inferência estrutural nativa.</w:t>
      </w:r>
    </w:p>
    <w:p>
      <w:pPr>
        <w:pStyle w:val="Normal"/>
        <w:numPr>
          <w:ilvl w:val="0"/>
          <w:numId w:val="12"/>
        </w:numPr>
        <w:spacing w:lineRule="auto" w:line="276" w:before="0" w:after="0"/>
        <w:contextualSpacing/>
        <w:jc w:val="both"/>
        <w:rPr/>
      </w:pPr>
      <w:r>
        <w:rPr>
          <w:b/>
          <w:bCs/>
        </w:rPr>
        <w:t>Persistência Topológica:</w:t>
      </w:r>
      <w:r>
        <w:rPr/>
        <w:t xml:space="preserve"> A </w:t>
      </w:r>
      <w:r>
        <w:rPr>
          <w:i/>
          <w:iCs/>
        </w:rPr>
        <w:t>liveness</w:t>
      </w:r>
      <w:r>
        <w:rPr/>
        <w:t xml:space="preserve"> (tempo de vida útil) de uma estrutura de memória está diretamente vinculada à sua presença no Grafo de Dependência de Dados. Qualquer objeto ou matriz instanciada e atrelada ao fluxo principal de processamento (</w:t>
      </w:r>
      <w:r>
        <w:rPr>
          <w:i/>
          <w:iCs/>
        </w:rPr>
        <w:t>main pipeline backbone</w:t>
      </w:r>
      <w:r>
        <w:rPr/>
        <w:t xml:space="preserve">) mantém sua validade e permanece globalmente acessível aos </w:t>
      </w:r>
      <w:r>
        <w:rPr>
          <w:i/>
          <w:iCs/>
        </w:rPr>
        <w:t>agents</w:t>
      </w:r>
      <w:r>
        <w:rPr/>
        <w:t xml:space="preserve"> durante a execução do roteamento, mitigando integralmente falhas de segmentação ou formação de ponteiros pendentes (</w:t>
      </w:r>
      <w:r>
        <w:rPr>
          <w:i/>
          <w:iCs/>
        </w:rPr>
        <w:t>dangling pointers</w:t>
      </w:r>
      <w:r>
        <w:rPr/>
        <w:t>).</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51" w:name="__RefHeading___Toc8352_3056492648"/>
      <w:bookmarkStart w:id="52" w:name="_Toc230559711"/>
      <w:bookmarkStart w:id="53" w:name="_Toc229957227"/>
      <w:bookmarkEnd w:id="51"/>
      <w:r>
        <w:rPr>
          <w:rFonts w:cs="Arial" w:ascii="Arial" w:hAnsi="Arial"/>
        </w:rPr>
        <w:t xml:space="preserve">6.2 </w:t>
      </w:r>
      <w:r>
        <w:rPr>
          <w:rFonts w:cs="Arial" w:ascii="Arial" w:hAnsi="Arial"/>
          <w:i/>
          <w:iCs/>
        </w:rPr>
        <w:t>Lifetime</w:t>
      </w:r>
      <w:r>
        <w:rPr>
          <w:rFonts w:cs="Arial" w:ascii="Arial" w:hAnsi="Arial"/>
        </w:rPr>
        <w:t xml:space="preserve"> Inferido</w:t>
      </w:r>
      <w:bookmarkEnd w:id="52"/>
      <w:bookmarkEnd w:id="53"/>
    </w:p>
    <w:p>
      <w:pPr>
        <w:pStyle w:val="Normal"/>
        <w:spacing w:lineRule="auto" w:line="276" w:before="0" w:after="0"/>
        <w:ind w:firstLine="567"/>
        <w:contextualSpacing/>
        <w:jc w:val="both"/>
        <w:rPr/>
      </w:pPr>
      <w:r>
        <w:rPr/>
        <w:t>O subsistema de gerência de memória da</w:t>
      </w:r>
      <w:r>
        <w:rPr>
          <w:b/>
          <w:bCs/>
        </w:rPr>
        <w:t xml:space="preserve"> FLUX </w:t>
      </w:r>
      <w:r>
        <w:rPr/>
        <w:t xml:space="preserve">opera por meio de uma técnica de </w:t>
      </w:r>
      <w:r>
        <w:rPr>
          <w:b/>
          <w:bCs/>
        </w:rPr>
        <w:t>Análise de Sobrevivência Estática Orientada a Grafo</w:t>
      </w:r>
      <w:r>
        <w:rPr/>
        <w:t xml:space="preserve"> (</w:t>
      </w:r>
      <w:r>
        <w:rPr>
          <w:i/>
          <w:iCs/>
        </w:rPr>
        <w:t>Graph-Based Static Liveness Analysis</w:t>
      </w:r>
      <w:r>
        <w:rPr/>
        <w:t>). O tempo de vida (</w:t>
      </w:r>
      <w:r>
        <w:rPr>
          <w:i/>
          <w:iCs/>
        </w:rPr>
        <w:t>lifetime</w:t>
      </w:r>
      <w:r>
        <w:rPr/>
        <w:t xml:space="preserve">) de qualquer identificador ou alocação física é inferido de forma determinística a partir da topologia do </w:t>
      </w:r>
      <w:r>
        <w:rPr>
          <w:i/>
          <w:iCs/>
        </w:rPr>
        <w:t>pipeline</w:t>
      </w:r>
      <w:r>
        <w:rPr/>
        <w:t>, eliminando a necessidade de rastreamento dinâmico de referências em tempo de execução.</w:t>
      </w:r>
    </w:p>
    <w:p>
      <w:pPr>
        <w:pStyle w:val="Normal"/>
        <w:numPr>
          <w:ilvl w:val="0"/>
          <w:numId w:val="13"/>
        </w:numPr>
        <w:spacing w:lineRule="auto" w:line="276" w:before="0" w:after="0"/>
        <w:contextualSpacing/>
        <w:jc w:val="both"/>
        <w:rPr/>
      </w:pPr>
      <w:r>
        <w:rPr>
          <w:b/>
          <w:bCs/>
        </w:rPr>
        <w:t>Princípio de Permanência Funcional:</w:t>
      </w:r>
      <w:r>
        <w:rPr/>
        <w:t xml:space="preserve"> A persistência da memória é mapeada diretamente pelas dependências lógicas do fluxo computacional. Um objeto permanece alocado no espaço de endereçamento física estritamente enquanto sua presença no Grafo de Dependência de Dados (DFG) for exigida para suprir nós sucessores.</w:t>
      </w:r>
    </w:p>
    <w:p>
      <w:pPr>
        <w:pStyle w:val="Normal"/>
        <w:numPr>
          <w:ilvl w:val="0"/>
          <w:numId w:val="13"/>
        </w:numPr>
        <w:spacing w:lineRule="auto" w:line="276" w:before="0" w:after="0"/>
        <w:contextualSpacing/>
        <w:jc w:val="both"/>
        <w:rPr/>
      </w:pPr>
      <w:r>
        <w:rPr>
          <w:b/>
          <w:bCs/>
        </w:rPr>
        <w:t>Coleta Determinística Pós-Consumo (</w:t>
      </w:r>
      <w:r>
        <w:rPr>
          <w:b/>
          <w:bCs/>
          <w:i/>
          <w:iCs/>
        </w:rPr>
        <w:t>Post-Consumption Disposal</w:t>
      </w:r>
      <w:r>
        <w:rPr>
          <w:b/>
          <w:bCs/>
        </w:rPr>
        <w:t>):</w:t>
      </w:r>
      <w:r>
        <w:rPr/>
        <w:t xml:space="preserve"> Em um encadeamento topológico linear (ex: A --&gt; foo.OPER1 --&gt; B --&gt; foo.OPER2 --&gt; C), o </w:t>
      </w:r>
      <w:r>
        <w:rPr>
          <w:i/>
          <w:iCs/>
        </w:rPr>
        <w:t>runtime</w:t>
      </w:r>
      <w:r>
        <w:rPr/>
        <w:t xml:space="preserve"> mapeia o consumo imediato dos recursos e executa as seguintes rotinas de liberação:</w:t>
      </w:r>
    </w:p>
    <w:p>
      <w:pPr>
        <w:pStyle w:val="Normal"/>
        <w:numPr>
          <w:ilvl w:val="1"/>
          <w:numId w:val="13"/>
        </w:numPr>
        <w:spacing w:lineRule="auto" w:line="276" w:before="0" w:after="0"/>
        <w:contextualSpacing/>
        <w:jc w:val="both"/>
        <w:rPr/>
      </w:pPr>
      <w:r>
        <w:rPr>
          <w:b/>
          <w:bCs/>
        </w:rPr>
        <w:t>Desalocação de Fontes de Origem:</w:t>
      </w:r>
      <w:r>
        <w:rPr/>
        <w:t xml:space="preserve"> O </w:t>
      </w:r>
      <w:r>
        <w:rPr>
          <w:i/>
          <w:iCs/>
        </w:rPr>
        <w:t>buffer</w:t>
      </w:r>
      <w:r>
        <w:rPr/>
        <w:t xml:space="preserve"> correspondente ao nó A é liberado imediatamente após a conclusão da operação OPER1, uma vez que o grau de saída (</w:t>
      </w:r>
      <w:r>
        <w:rPr>
          <w:i/>
          <w:iCs/>
        </w:rPr>
        <w:t>out-degree</w:t>
      </w:r>
      <w:r>
        <w:rPr/>
        <w:t>) de A no subgrafo ativo é zerado.</w:t>
      </w:r>
    </w:p>
    <w:p>
      <w:pPr>
        <w:pStyle w:val="Normal"/>
        <w:numPr>
          <w:ilvl w:val="1"/>
          <w:numId w:val="13"/>
        </w:numPr>
        <w:spacing w:lineRule="auto" w:line="276" w:before="0" w:after="0"/>
        <w:contextualSpacing/>
        <w:jc w:val="both"/>
        <w:rPr/>
      </w:pPr>
      <w:r>
        <w:rPr>
          <w:b/>
          <w:bCs/>
        </w:rPr>
        <w:t>Reciclagem Intermediária:</w:t>
      </w:r>
      <w:r>
        <w:rPr/>
        <w:t xml:space="preserve"> O nó intermediário B é destruído de forma síncrona assim que a OPER2 consolida o nó resultante C.</w:t>
      </w:r>
    </w:p>
    <w:p>
      <w:pPr>
        <w:pStyle w:val="Normal"/>
        <w:numPr>
          <w:ilvl w:val="1"/>
          <w:numId w:val="13"/>
        </w:numPr>
        <w:spacing w:lineRule="auto" w:line="276" w:before="0" w:after="0"/>
        <w:contextualSpacing/>
        <w:jc w:val="both"/>
        <w:rPr/>
      </w:pPr>
      <w:r>
        <w:rPr>
          <w:b/>
          <w:bCs/>
        </w:rPr>
        <w:t>Preservação de Nós de Destino:</w:t>
      </w:r>
      <w:r>
        <w:rPr/>
        <w:t xml:space="preserve"> Apenas o nó terminal C é mantido ativo na memória, por se estabelecer como o estado de destino (</w:t>
      </w:r>
      <w:r>
        <w:rPr>
          <w:i/>
          <w:iCs/>
        </w:rPr>
        <w:t>sink node</w:t>
      </w:r>
      <w:r>
        <w:rPr/>
        <w:t>) atual da esteira de processamento.</w:t>
      </w:r>
    </w:p>
    <w:p>
      <w:pPr>
        <w:pStyle w:val="Normal"/>
        <w:numPr>
          <w:ilvl w:val="0"/>
          <w:numId w:val="13"/>
        </w:numPr>
        <w:spacing w:lineRule="auto" w:line="276" w:before="0" w:after="0"/>
        <w:contextualSpacing/>
        <w:jc w:val="both"/>
        <w:rPr/>
      </w:pPr>
      <w:r>
        <w:rPr>
          <w:b/>
          <w:bCs/>
        </w:rPr>
        <w:t xml:space="preserve">Liberação de Escopos Efêmeros de </w:t>
      </w:r>
      <w:r>
        <w:rPr>
          <w:b/>
          <w:bCs/>
          <w:i/>
          <w:iCs/>
        </w:rPr>
        <w:t>Agent</w:t>
      </w:r>
      <w:r>
        <w:rPr>
          <w:b/>
          <w:bCs/>
        </w:rPr>
        <w:t>:</w:t>
      </w:r>
      <w:r>
        <w:rPr/>
        <w:t xml:space="preserve"> Esta abordagem estende-se às estruturas internas de execução das DSLs. No momento em que um </w:t>
      </w:r>
      <w:r>
        <w:rPr>
          <w:i/>
          <w:iCs/>
        </w:rPr>
        <w:t>agent</w:t>
      </w:r>
      <w:r>
        <w:rPr/>
        <w:t xml:space="preserve"> conclui seu processamento e retorna os dados resultantes para o fluxo principal, o </w:t>
      </w:r>
      <w:r>
        <w:rPr>
          <w:i/>
          <w:iCs/>
        </w:rPr>
        <w:t>runtime</w:t>
      </w:r>
      <w:r>
        <w:rPr/>
        <w:t xml:space="preserve"> liquida instantaneamente todas as alocações locais e transitórias utilizadas na computação física. Esse mecanismo garante a depuração imediata de recursos críticos de hardware, incluindo:</w:t>
      </w:r>
    </w:p>
    <w:p>
      <w:pPr>
        <w:pStyle w:val="Normal"/>
        <w:numPr>
          <w:ilvl w:val="1"/>
          <w:numId w:val="13"/>
        </w:numPr>
        <w:spacing w:lineRule="auto" w:line="276" w:before="0" w:after="0"/>
        <w:contextualSpacing/>
        <w:jc w:val="both"/>
        <w:rPr/>
      </w:pPr>
      <w:r>
        <w:rPr>
          <w:b/>
          <w:bCs/>
        </w:rPr>
        <w:t>Cache Local:</w:t>
      </w:r>
      <w:r>
        <w:rPr/>
        <w:t xml:space="preserve"> Estruturas temporárias de indexação e vetores de paginação internos do </w:t>
      </w:r>
      <w:r>
        <w:rPr>
          <w:i/>
          <w:iCs/>
        </w:rPr>
        <w:t>agent</w:t>
      </w:r>
      <w:r>
        <w:rPr/>
        <w:t>.</w:t>
      </w:r>
    </w:p>
    <w:p>
      <w:pPr>
        <w:pStyle w:val="Normal"/>
        <w:numPr>
          <w:ilvl w:val="1"/>
          <w:numId w:val="13"/>
        </w:numPr>
        <w:spacing w:lineRule="auto" w:line="276" w:before="0" w:after="0"/>
        <w:contextualSpacing/>
        <w:jc w:val="both"/>
        <w:rPr/>
      </w:pPr>
      <w:r>
        <w:rPr>
          <w:b/>
          <w:bCs/>
        </w:rPr>
        <w:t xml:space="preserve">Buffers de </w:t>
      </w:r>
      <w:r>
        <w:rPr>
          <w:b/>
          <w:bCs/>
          <w:i/>
          <w:iCs/>
        </w:rPr>
        <w:t>GPU</w:t>
      </w:r>
      <w:r>
        <w:rPr>
          <w:b/>
          <w:bCs/>
        </w:rPr>
        <w:t>:</w:t>
      </w:r>
      <w:r>
        <w:rPr/>
        <w:t xml:space="preserve"> Alocações em VRAM, como matrizes de registradores e buffers de memória gráfica (CUDA/OpenCL).</w:t>
      </w:r>
    </w:p>
    <w:p>
      <w:pPr>
        <w:pStyle w:val="Normal"/>
        <w:numPr>
          <w:ilvl w:val="1"/>
          <w:numId w:val="13"/>
        </w:numPr>
        <w:spacing w:lineRule="auto" w:line="276" w:before="0" w:after="0"/>
        <w:contextualSpacing/>
        <w:jc w:val="both"/>
        <w:rPr/>
      </w:pPr>
      <w:r>
        <w:rPr>
          <w:b/>
          <w:bCs/>
        </w:rPr>
        <w:t>Matrizes Auxiliares:</w:t>
      </w:r>
      <w:r>
        <w:rPr/>
        <w:t xml:space="preserve"> Estruturas intermediárias de álgebra linear instanciadas para transformações ou decomposições matemáticas voláteis.</w:t>
      </w:r>
    </w:p>
    <w:p>
      <w:pPr>
        <w:pStyle w:val="Normal"/>
        <w:numPr>
          <w:ilvl w:val="1"/>
          <w:numId w:val="13"/>
        </w:numPr>
        <w:spacing w:lineRule="auto" w:line="276" w:before="0" w:after="0"/>
        <w:contextualSpacing/>
        <w:jc w:val="both"/>
        <w:rPr/>
      </w:pPr>
      <w:r>
        <w:rPr>
          <w:b/>
          <w:bCs/>
        </w:rPr>
        <w:t>Workspaces:</w:t>
      </w:r>
      <w:r>
        <w:rPr/>
        <w:t xml:space="preserve"> Blocos de memória de rascunho (</w:t>
      </w:r>
      <w:r>
        <w:rPr>
          <w:i/>
          <w:iCs/>
        </w:rPr>
        <w:t>scratchpad memory</w:t>
      </w:r>
      <w:r>
        <w:rPr/>
        <w:t>) exigidos para a execução de rotinas otimizadas via backends de alta performance (MKL/BLAS).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54" w:name="__RefHeading___Toc8354_3056492648"/>
      <w:bookmarkStart w:id="55" w:name="_Toc230559712"/>
      <w:bookmarkStart w:id="56" w:name="_Toc229957228"/>
      <w:bookmarkEnd w:id="54"/>
      <w:r>
        <w:rPr>
          <w:rFonts w:cs="Arial" w:ascii="Arial" w:hAnsi="Arial"/>
        </w:rPr>
        <w:t>6.3 Filosofia de Performance</w:t>
      </w:r>
      <w:bookmarkEnd w:id="55"/>
      <w:bookmarkEnd w:id="56"/>
    </w:p>
    <w:p>
      <w:pPr>
        <w:pStyle w:val="Normal"/>
        <w:spacing w:lineRule="auto" w:line="276" w:before="0" w:after="0"/>
        <w:ind w:firstLine="567"/>
        <w:contextualSpacing/>
        <w:jc w:val="both"/>
        <w:rPr/>
      </w:pPr>
      <w:r>
        <w:rPr/>
        <w:t xml:space="preserve">O design arquitetural da </w:t>
      </w:r>
      <w:r>
        <w:rPr>
          <w:b/>
          <w:bCs/>
        </w:rPr>
        <w:t xml:space="preserve">FLUX </w:t>
      </w:r>
      <w:r>
        <w:rPr/>
        <w:t xml:space="preserve">estabelece um rigoroso </w:t>
      </w:r>
      <w:r>
        <w:rPr>
          <w:b/>
          <w:bCs/>
        </w:rPr>
        <w:t>Desacoplamento de Estratégia de Execução</w:t>
      </w:r>
      <w:r>
        <w:rPr/>
        <w:t xml:space="preserve"> (</w:t>
      </w:r>
      <w:r>
        <w:rPr>
          <w:i/>
          <w:iCs/>
        </w:rPr>
        <w:t>Execution Strategy Decoupling</w:t>
      </w:r>
      <w:r>
        <w:rPr/>
        <w:t xml:space="preserve">). O </w:t>
      </w:r>
      <w:r>
        <w:rPr>
          <w:i/>
          <w:iCs/>
        </w:rPr>
        <w:t>kernel</w:t>
      </w:r>
      <w:r>
        <w:rPr/>
        <w:t xml:space="preserve"> abstém-se inteiramente de inferir ou ditar as diretrizes físicas de processamento, focando apenas na integridade topológica do fluxo. Toda a responsabilidade de escalonamento de hardware e geração de código de baixo nível (</w:t>
      </w:r>
      <w:r>
        <w:rPr>
          <w:i/>
          <w:iCs/>
        </w:rPr>
        <w:t>lowering</w:t>
      </w:r>
      <w:r>
        <w:rPr/>
        <w:t xml:space="preserve">) recai sobre o motor de heurística interna dos </w:t>
      </w:r>
      <w:r>
        <w:rPr>
          <w:i/>
          <w:iCs/>
        </w:rPr>
        <w:t>agents</w:t>
      </w:r>
      <w:r>
        <w:rPr/>
        <w:t>.</w:t>
      </w:r>
    </w:p>
    <w:p>
      <w:pPr>
        <w:pStyle w:val="Normal"/>
        <w:spacing w:lineRule="auto" w:line="276" w:before="0" w:after="0"/>
        <w:ind w:firstLine="567"/>
        <w:contextualSpacing/>
        <w:jc w:val="both"/>
        <w:rPr/>
      </w:pPr>
      <w:r>
        <w:rPr/>
        <w:t xml:space="preserve">Ao interceptar o Grafo de Dependência de Dados gerado pelo núcleo, o </w:t>
      </w:r>
      <w:r>
        <w:rPr>
          <w:i/>
          <w:iCs/>
        </w:rPr>
        <w:t>agent</w:t>
      </w:r>
      <w:r>
        <w:rPr/>
        <w:t xml:space="preserve"> atua com autonomia absoluta para analisar a carga de trabalho (</w:t>
      </w:r>
      <w:r>
        <w:rPr>
          <w:i/>
          <w:iCs/>
        </w:rPr>
        <w:t>workload</w:t>
      </w:r>
      <w:r>
        <w:rPr/>
        <w:t>) e selecionar dinamicamente a via de processamento de mais alta performance. Essa arquitetura permite que a linguagem adote rotas de execução altamente especializadas, incluindo:</w:t>
      </w:r>
    </w:p>
    <w:p>
      <w:pPr>
        <w:pStyle w:val="Normal"/>
        <w:numPr>
          <w:ilvl w:val="0"/>
          <w:numId w:val="14"/>
        </w:numPr>
        <w:spacing w:lineRule="auto" w:line="276" w:before="0" w:after="0"/>
        <w:contextualSpacing/>
        <w:jc w:val="both"/>
        <w:rPr/>
      </w:pPr>
      <w:r>
        <w:rPr>
          <w:b/>
          <w:bCs/>
        </w:rPr>
        <w:t>Vetorização SIMD (</w:t>
      </w:r>
      <w:r>
        <w:rPr>
          <w:b/>
          <w:bCs/>
          <w:i/>
          <w:iCs/>
        </w:rPr>
        <w:t>Data-Level Parallelism</w:t>
      </w:r>
      <w:r>
        <w:rPr>
          <w:b/>
          <w:bCs/>
        </w:rPr>
        <w:t>):</w:t>
      </w:r>
      <w:r>
        <w:rPr/>
        <w:t xml:space="preserve"> Exploração nativa de registradores largos da CPU (ex: AVX, SSE, Neon) para aplicação de paralelismo em nível de dados (</w:t>
      </w:r>
      <w:r>
        <w:rPr>
          <w:i/>
          <w:iCs/>
        </w:rPr>
        <w:t>Single Instruction, Multiple Data</w:t>
      </w:r>
      <w:r>
        <w:rPr/>
        <w:t>) em matrizes lineares, evitando os ciclos de clock de laços imperativos clássicos.</w:t>
      </w:r>
    </w:p>
    <w:p>
      <w:pPr>
        <w:pStyle w:val="Normal"/>
        <w:numPr>
          <w:ilvl w:val="0"/>
          <w:numId w:val="14"/>
        </w:numPr>
        <w:spacing w:lineRule="auto" w:line="276" w:before="0" w:after="0"/>
        <w:contextualSpacing/>
        <w:jc w:val="both"/>
        <w:rPr/>
      </w:pPr>
      <w:r>
        <w:rPr>
          <w:b/>
          <w:bCs/>
        </w:rPr>
        <w:t>Processamento Escalar e Multithread (CPU):</w:t>
      </w:r>
      <w:r>
        <w:rPr/>
        <w:t xml:space="preserve"> Despacho otimizado para arquiteturas multicore tradicionais (x86_64, ARM), aplicando paralelismo em nível de </w:t>
      </w:r>
      <w:r>
        <w:rPr>
          <w:i/>
          <w:iCs/>
        </w:rPr>
        <w:t>thread</w:t>
      </w:r>
      <w:r>
        <w:rPr/>
        <w:t xml:space="preserve"> (</w:t>
      </w:r>
      <w:r>
        <w:rPr>
          <w:i/>
          <w:iCs/>
        </w:rPr>
        <w:t>Thread-Level Parallelism - TLP</w:t>
      </w:r>
      <w:r>
        <w:rPr/>
        <w:t>) para rotinas de latência crítica e ramificações condicionais não uniformes.</w:t>
      </w:r>
    </w:p>
    <w:p>
      <w:pPr>
        <w:pStyle w:val="Normal"/>
        <w:numPr>
          <w:ilvl w:val="0"/>
          <w:numId w:val="14"/>
        </w:numPr>
        <w:spacing w:lineRule="auto" w:line="276" w:before="0" w:after="0"/>
        <w:contextualSpacing/>
        <w:jc w:val="both"/>
        <w:rPr/>
      </w:pPr>
      <w:r>
        <w:rPr>
          <w:b/>
          <w:bCs/>
        </w:rPr>
        <w:t xml:space="preserve">Aceleração via </w:t>
      </w:r>
      <w:r>
        <w:rPr>
          <w:b/>
          <w:bCs/>
          <w:i/>
          <w:iCs/>
        </w:rPr>
        <w:t>GPU</w:t>
      </w:r>
      <w:r>
        <w:rPr>
          <w:b/>
          <w:bCs/>
        </w:rPr>
        <w:t xml:space="preserve"> (</w:t>
      </w:r>
      <w:r>
        <w:rPr>
          <w:b/>
          <w:bCs/>
          <w:i/>
          <w:iCs/>
        </w:rPr>
        <w:t>Massively Parallel Compute</w:t>
      </w:r>
      <w:r>
        <w:rPr>
          <w:b/>
          <w:bCs/>
        </w:rPr>
        <w:t>):</w:t>
      </w:r>
      <w:r>
        <w:rPr/>
        <w:t xml:space="preserve"> </w:t>
      </w:r>
      <w:r>
        <w:rPr>
          <w:i/>
          <w:iCs/>
        </w:rPr>
        <w:t>Offloading</w:t>
      </w:r>
      <w:r>
        <w:rPr/>
        <w:t xml:space="preserve"> transparente e direto de blocos tensoriais densos para </w:t>
      </w:r>
      <w:r>
        <w:rPr>
          <w:i/>
          <w:iCs/>
        </w:rPr>
        <w:t>backends</w:t>
      </w:r>
      <w:r>
        <w:rPr/>
        <w:t xml:space="preserve"> de processamento gráfico de propósito geral (</w:t>
      </w:r>
      <w:r>
        <w:rPr>
          <w:i/>
          <w:iCs/>
        </w:rPr>
        <w:t>GPU</w:t>
      </w:r>
      <w:r>
        <w:rPr/>
        <w:t>, via CUDA ou OpenCL), maximizando a taxa de transferência (</w:t>
      </w:r>
      <w:r>
        <w:rPr>
          <w:i/>
          <w:iCs/>
        </w:rPr>
        <w:t>throughput</w:t>
      </w:r>
      <w:r>
        <w:rPr/>
        <w:t>) em cálculos matriciais pesados.</w:t>
      </w:r>
    </w:p>
    <w:p>
      <w:pPr>
        <w:pStyle w:val="Normal"/>
        <w:numPr>
          <w:ilvl w:val="0"/>
          <w:numId w:val="14"/>
        </w:numPr>
        <w:spacing w:lineRule="auto" w:line="276" w:before="0" w:after="0"/>
        <w:contextualSpacing/>
        <w:jc w:val="both"/>
        <w:rPr/>
      </w:pPr>
      <w:r>
        <w:rPr>
          <w:b/>
          <w:bCs/>
        </w:rPr>
        <w:t>Execução Distribuída e Topologias de Cluster:</w:t>
      </w:r>
      <w:r>
        <w:rPr/>
        <w:t xml:space="preserve"> Fragmentação e roteamento serializado do grafo de dados para processamento descentralizado em múltiplos nós físicos na rede, garantindo escalabilidade horizontal em modelos de </w:t>
      </w:r>
      <w:r>
        <w:rPr>
          <w:i/>
          <w:iCs/>
        </w:rPr>
        <w:t>Big Data</w:t>
      </w:r>
      <w:r>
        <w:rPr/>
        <w:t>.</w:t>
      </w:r>
    </w:p>
    <w:p>
      <w:pPr>
        <w:pStyle w:val="Normal"/>
        <w:numPr>
          <w:ilvl w:val="0"/>
          <w:numId w:val="14"/>
        </w:numPr>
        <w:spacing w:lineRule="auto" w:line="276" w:before="0" w:after="0"/>
        <w:contextualSpacing/>
        <w:jc w:val="both"/>
        <w:rPr/>
      </w:pPr>
      <w:r>
        <w:rPr>
          <w:b/>
          <w:bCs/>
        </w:rPr>
        <w:t>Paralelismo Assíncrono (</w:t>
      </w:r>
      <w:r>
        <w:rPr>
          <w:b/>
          <w:bCs/>
          <w:i/>
          <w:iCs/>
        </w:rPr>
        <w:t>Task-Level Parallelism</w:t>
      </w:r>
      <w:r>
        <w:rPr>
          <w:b/>
          <w:bCs/>
        </w:rPr>
        <w:t>):</w:t>
      </w:r>
      <w:r>
        <w:rPr/>
        <w:t xml:space="preserve"> Gestão de esteiras simultâneas que não apresentam dependência de dados entre si, permitindo o isolamento de concorrência em </w:t>
      </w:r>
      <w:r>
        <w:rPr>
          <w:i/>
          <w:iCs/>
        </w:rPr>
        <w:t>green threads</w:t>
      </w:r>
      <w:r>
        <w:rPr/>
        <w:t xml:space="preserve"> ou rotinas não bloqueantes (</w:t>
      </w:r>
      <w:r>
        <w:rPr>
          <w:i/>
          <w:iCs/>
        </w:rPr>
        <w:t>non-blocking event loops</w:t>
      </w:r>
      <w:r>
        <w:rPr/>
        <w:t>).</w:t>
      </w:r>
    </w:p>
    <w:p>
      <w:pPr>
        <w:pStyle w:val="Normal"/>
        <w:numPr>
          <w:ilvl w:val="0"/>
          <w:numId w:val="14"/>
        </w:numPr>
        <w:spacing w:lineRule="auto" w:line="276" w:before="0" w:after="0"/>
        <w:contextualSpacing/>
        <w:jc w:val="both"/>
        <w:rPr/>
      </w:pPr>
      <w:r>
        <w:rPr>
          <w:b/>
          <w:bCs/>
        </w:rPr>
        <w:t>Despacho de Backends Nativos (FFI Otimizada):</w:t>
      </w:r>
      <w:r>
        <w:rPr/>
        <w:t xml:space="preserve"> Interfaceamento determinístico com rotinas matemáticas e bibliotecas físicas legadas, traduzindo as chamadas diretamente para a interface binária (ABI) da infraestrutura física do servidor (como integrações nativas em C/C++ ou chamadas de sistema).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57" w:name="__RefHeading___Toc8354_3056492648_Copia_"/>
      <w:bookmarkStart w:id="58" w:name="_Toc230559712_Copia_1"/>
      <w:bookmarkStart w:id="59" w:name="_Toc229957228_Copia_1"/>
      <w:bookmarkEnd w:id="57"/>
      <w:r>
        <w:rPr>
          <w:rFonts w:cs="Arial" w:ascii="Arial" w:hAnsi="Arial"/>
        </w:rPr>
        <w:t xml:space="preserve">6.4 </w:t>
      </w:r>
      <w:bookmarkEnd w:id="58"/>
      <w:bookmarkEnd w:id="59"/>
      <w:r>
        <w:rPr>
          <w:rFonts w:cs="Arial" w:ascii="Arial" w:hAnsi="Arial"/>
        </w:rPr>
        <w:t>Pipeline de Compilação e Execução</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 xml:space="preserve">A arquitetura de execução e geração de artefatos da </w:t>
      </w:r>
      <w:r>
        <w:rPr>
          <w:rFonts w:cs="Arial"/>
          <w:b/>
          <w:bCs/>
        </w:rPr>
        <w:t>FLUX</w:t>
      </w:r>
      <w:r>
        <w:rPr>
          <w:rFonts w:cs="Arial"/>
        </w:rPr>
        <w:t xml:space="preserve"> opera de forma sincronizada através de caminhos paralelos a partir da análise semântica:</w:t>
      </w:r>
    </w:p>
    <w:p>
      <w:pPr>
        <w:pStyle w:val="Normal"/>
        <w:widowControl/>
        <w:numPr>
          <w:ilvl w:val="0"/>
          <w:numId w:val="24"/>
        </w:numPr>
        <w:suppressAutoHyphens w:val="true"/>
        <w:bidi w:val="0"/>
        <w:spacing w:lineRule="auto" w:line="276" w:before="0" w:after="0"/>
        <w:ind w:hanging="340" w:left="1077" w:right="0"/>
        <w:contextualSpacing/>
        <w:jc w:val="both"/>
        <w:rPr>
          <w:rFonts w:ascii="Arial" w:hAnsi="Arial" w:cs="Arial"/>
        </w:rPr>
      </w:pPr>
      <w:r>
        <w:rPr>
          <w:rFonts w:cs="Arial"/>
          <w:i/>
          <w:iCs/>
        </w:rPr>
        <w:t>Interpreter:</w:t>
      </w:r>
      <w:r>
        <w:rPr>
          <w:rFonts w:cs="Arial"/>
        </w:rPr>
        <w:t xml:space="preserve"> Executa diretamente a Árvore de Sintaxe Abstrata (</w:t>
      </w:r>
      <w:r>
        <w:rPr>
          <w:rFonts w:cs="Arial"/>
          <w:i/>
          <w:iCs/>
        </w:rPr>
        <w:t>AST</w:t>
      </w:r>
      <w:r>
        <w:rPr>
          <w:rFonts w:cs="Arial"/>
        </w:rPr>
        <w:t>) para validação imediata.</w:t>
      </w:r>
    </w:p>
    <w:p>
      <w:pPr>
        <w:pStyle w:val="Normal"/>
        <w:widowControl/>
        <w:numPr>
          <w:ilvl w:val="0"/>
          <w:numId w:val="24"/>
        </w:numPr>
        <w:suppressAutoHyphens w:val="true"/>
        <w:bidi w:val="0"/>
        <w:spacing w:lineRule="auto" w:line="276" w:before="0" w:after="0"/>
        <w:ind w:hanging="340" w:left="1077" w:right="0"/>
        <w:contextualSpacing/>
        <w:jc w:val="both"/>
        <w:rPr>
          <w:rFonts w:ascii="Arial" w:hAnsi="Arial" w:cs="Arial"/>
        </w:rPr>
      </w:pPr>
      <w:r>
        <w:rPr>
          <w:rFonts w:cs="Arial"/>
          <w:i/>
          <w:iCs/>
        </w:rPr>
        <w:t>Compiler + VM</w:t>
      </w:r>
      <w:r>
        <w:rPr>
          <w:rFonts w:cs="Arial"/>
        </w:rPr>
        <w:t xml:space="preserve"> (.</w:t>
      </w:r>
      <w:r>
        <w:rPr>
          <w:rFonts w:cs="Arial"/>
          <w:i/>
          <w:iCs/>
        </w:rPr>
        <w:t>fvmbc</w:t>
      </w:r>
      <w:r>
        <w:rPr>
          <w:rFonts w:cs="Arial"/>
        </w:rPr>
        <w:t xml:space="preserve">): Transforma a </w:t>
      </w:r>
      <w:r>
        <w:rPr>
          <w:rFonts w:cs="Arial"/>
          <w:i/>
          <w:iCs/>
        </w:rPr>
        <w:t>AST</w:t>
      </w:r>
      <w:r>
        <w:rPr>
          <w:rFonts w:cs="Arial"/>
        </w:rPr>
        <w:t xml:space="preserve"> e serializa o </w:t>
      </w:r>
      <w:r>
        <w:rPr>
          <w:rFonts w:cs="Arial"/>
          <w:i/>
          <w:iCs/>
        </w:rPr>
        <w:t>bytecode</w:t>
      </w:r>
      <w:r>
        <w:rPr>
          <w:rFonts w:cs="Arial"/>
        </w:rPr>
        <w:t xml:space="preserve"> nativo no formato </w:t>
      </w:r>
      <w:r>
        <w:rPr>
          <w:rFonts w:cs="Arial"/>
          <w:i/>
          <w:iCs/>
        </w:rPr>
        <w:t>FLUX_VM_BYTECODE</w:t>
      </w:r>
      <w:r>
        <w:rPr>
          <w:rFonts w:cs="Arial"/>
        </w:rPr>
        <w:t xml:space="preserve"> (com controle estrito de versão de formato, instrução e stdlib), executado pela </w:t>
      </w:r>
      <w:r>
        <w:rPr>
          <w:rFonts w:cs="Arial"/>
          <w:i/>
          <w:iCs/>
        </w:rPr>
        <w:t>BytecodeVM</w:t>
      </w:r>
      <w:r>
        <w:rPr>
          <w:rFonts w:cs="Arial"/>
        </w:rPr>
        <w:t>.</w:t>
      </w:r>
    </w:p>
    <w:p>
      <w:pPr>
        <w:pStyle w:val="Normal"/>
        <w:widowControl/>
        <w:numPr>
          <w:ilvl w:val="0"/>
          <w:numId w:val="24"/>
        </w:numPr>
        <w:suppressAutoHyphens w:val="true"/>
        <w:bidi w:val="0"/>
        <w:spacing w:lineRule="auto" w:line="276" w:before="0" w:after="0"/>
        <w:ind w:hanging="340" w:left="1077" w:right="0"/>
        <w:contextualSpacing/>
        <w:jc w:val="both"/>
        <w:rPr>
          <w:rFonts w:ascii="Arial" w:hAnsi="Arial" w:cs="Arial"/>
        </w:rPr>
      </w:pPr>
      <w:r>
        <w:rPr>
          <w:rFonts w:cs="Arial"/>
          <w:i/>
          <w:iCs/>
        </w:rPr>
        <w:t>Wasm Backend</w:t>
      </w:r>
      <w:r>
        <w:rPr>
          <w:rFonts w:cs="Arial"/>
        </w:rPr>
        <w:t xml:space="preserve"> (</w:t>
      </w:r>
      <w:r>
        <w:rPr>
          <w:rFonts w:cs="Arial"/>
          <w:i/>
          <w:iCs/>
        </w:rPr>
        <w:t>.wasm</w:t>
      </w:r>
      <w:r>
        <w:rPr>
          <w:rFonts w:cs="Arial"/>
        </w:rPr>
        <w:t xml:space="preserve">): Rota de compilação nativa para </w:t>
      </w:r>
      <w:r>
        <w:rPr>
          <w:rFonts w:cs="Arial"/>
          <w:i/>
          <w:iCs/>
        </w:rPr>
        <w:t>WebAssembly</w:t>
      </w:r>
      <w:r>
        <w:rPr>
          <w:rFonts w:cs="Arial"/>
        </w:rPr>
        <w:t>, embutida de forma equivalente no fluxo de transformação de código.</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O fluxo arquitetural segue o pipeline unificado abaixo:</w:t>
      </w:r>
    </w:p>
    <w:p>
      <w:pPr>
        <w:pStyle w:val="Normal"/>
        <w:spacing w:lineRule="auto" w:line="276" w:before="0" w:after="0"/>
        <w:contextualSpacing/>
        <w:jc w:val="center"/>
        <w:rPr>
          <w:rFonts w:ascii="Arial" w:hAnsi="Arial" w:cs="Arial"/>
          <w:i/>
          <w:iCs/>
        </w:rPr>
      </w:pPr>
      <w:r>
        <w:rPr>
          <w:rFonts w:cs="Arial"/>
          <w:i/>
          <w:iCs/>
        </w:rPr>
        <w:t>.flux / .fdsl -&gt; Lexer -&gt; Parser -&gt; MacroExpander -&gt; SemanticAnalyzer</w:t>
      </w:r>
    </w:p>
    <w:p>
      <w:pPr>
        <w:pStyle w:val="Normal"/>
        <w:spacing w:lineRule="auto" w:line="276" w:before="0" w:after="0"/>
        <w:contextualSpacing/>
        <w:jc w:val="both"/>
        <w:rPr>
          <w:rFonts w:ascii="Arial" w:hAnsi="Arial" w:cs="Arial"/>
          <w:i/>
          <w:iCs/>
        </w:rPr>
      </w:pPr>
      <w:r>
        <w:rPr>
          <w:rFonts w:cs="Arial"/>
          <w:i/>
          <w:iCs/>
        </w:rPr>
        <w:t xml:space="preserve">                             ├──</w:t>
      </w:r>
      <w:r>
        <w:rPr>
          <w:rFonts w:cs="Arial"/>
          <w:i/>
          <w:iCs/>
        </w:rPr>
        <w:t>&gt; Interpreter</w:t>
      </w:r>
    </w:p>
    <w:p>
      <w:pPr>
        <w:pStyle w:val="Normal"/>
        <w:spacing w:lineRule="auto" w:line="276" w:before="0" w:after="0"/>
        <w:contextualSpacing/>
        <w:jc w:val="both"/>
        <w:rPr>
          <w:rFonts w:ascii="Arial" w:hAnsi="Arial" w:cs="Arial"/>
          <w:i/>
          <w:iCs/>
        </w:rPr>
      </w:pPr>
      <w:r>
        <w:rPr>
          <w:rFonts w:cs="Arial"/>
          <w:i/>
          <w:iCs/>
        </w:rPr>
        <w:t xml:space="preserve">                             ├──</w:t>
      </w:r>
      <w:r>
        <w:rPr>
          <w:rFonts w:cs="Arial"/>
          <w:i/>
          <w:iCs/>
        </w:rPr>
        <w:t>&gt; BytecodeCompiler ──&gt; .fvmbc ──&gt; BytecodeVM</w:t>
      </w:r>
    </w:p>
    <w:p>
      <w:pPr>
        <w:pStyle w:val="Normal"/>
        <w:spacing w:lineRule="auto" w:line="276" w:before="0" w:after="0"/>
        <w:contextualSpacing/>
        <w:jc w:val="both"/>
        <w:rPr>
          <w:rFonts w:ascii="Arial" w:hAnsi="Arial" w:cs="Arial"/>
          <w:i/>
          <w:iCs/>
        </w:rPr>
      </w:pPr>
      <w:r>
        <w:rPr>
          <w:rFonts w:cs="Arial"/>
          <w:i/>
          <w:iCs/>
        </w:rPr>
        <w:t xml:space="preserve">                             ├──</w:t>
      </w:r>
      <w:r>
        <w:rPr>
          <w:rFonts w:cs="Arial"/>
          <w:i/>
          <w:iCs/>
        </w:rPr>
        <w:t>&gt; WasmCompiler ──&gt; .wasm ──&gt; WASM Runtime</w:t>
      </w:r>
    </w:p>
    <w:p>
      <w:pPr>
        <w:pStyle w:val="Normal"/>
        <w:spacing w:lineRule="auto" w:line="276" w:before="0" w:after="0"/>
        <w:contextualSpacing/>
        <w:jc w:val="both"/>
        <w:rPr>
          <w:rFonts w:ascii="Arial" w:hAnsi="Arial" w:cs="Arial"/>
        </w:rPr>
      </w:pPr>
      <w:r>
        <w:rPr>
          <w:rFonts w:cs="Arial"/>
          <w:i/>
          <w:iCs/>
        </w:rPr>
        <w:t xml:space="preserve">                             └──</w:t>
      </w:r>
      <w:r>
        <w:rPr>
          <w:rFonts w:cs="Arial"/>
          <w:i/>
          <w:iCs/>
        </w:rPr>
        <w:t>&gt; DDG</w:t>
      </w:r>
      <w:r>
        <w:rPr>
          <w:rFonts w:cs="Arial"/>
        </w:rPr>
        <w:t xml:space="preserve"> (Grafo de Dependência de Dados) auxiliar</w:t>
      </w:r>
    </w:p>
    <w:p>
      <w:pPr>
        <w:pStyle w:val="Normal"/>
        <w:spacing w:lineRule="auto" w:line="276" w:before="0" w:after="0"/>
        <w:contextualSpacing/>
        <w:jc w:val="both"/>
        <w:rPr>
          <w:rFonts w:ascii="Arial" w:hAnsi="Arial" w:cs="Arial"/>
        </w:rPr>
      </w:pPr>
      <w:r>
        <w:rPr>
          <w:rFonts w:cs="Arial"/>
        </w:rPr>
      </w:r>
    </w:p>
    <w:p>
      <w:pPr>
        <w:pStyle w:val="Heading3"/>
        <w:spacing w:before="0" w:after="0"/>
        <w:contextualSpacing/>
        <w:rPr/>
      </w:pPr>
      <w:bookmarkStart w:id="60" w:name="__RefHeading___Toc8382_3056492648_Copia_"/>
      <w:bookmarkEnd w:id="60"/>
      <w:r>
        <w:rPr/>
        <w:t>6</w:t>
      </w:r>
      <w:bookmarkStart w:id="61" w:name="_Toc230559729_Copia_1"/>
      <w:bookmarkStart w:id="62" w:name="_Toc229957258_Copia_1"/>
      <w:r>
        <w:rPr/>
        <w:t>.4.1</w:t>
      </w:r>
      <w:bookmarkEnd w:id="61"/>
      <w:bookmarkEnd w:id="62"/>
      <w:r>
        <w:rPr/>
        <w:t xml:space="preserve"> Contrato de Paridade de Recursos</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 xml:space="preserve">Para garantir a consistência absoluta do ecossistema, qualquer nova funcionalidade ou palavra-chave adicionada à linguagem exige, obrigatoriamente, o cumprimento deste ciclo de </w:t>
      </w:r>
      <w:r>
        <w:rPr>
          <w:rFonts w:cs="Arial"/>
          <w:i/>
          <w:iCs/>
        </w:rPr>
        <w:t>lowering</w:t>
      </w:r>
      <w:r>
        <w:rPr>
          <w:rFonts w:cs="Arial"/>
        </w:rPr>
        <w:t>:</w:t>
      </w:r>
    </w:p>
    <w:p>
      <w:pPr>
        <w:pStyle w:val="Normal"/>
        <w:widowControl/>
        <w:numPr>
          <w:ilvl w:val="0"/>
          <w:numId w:val="26"/>
        </w:numPr>
        <w:suppressAutoHyphens w:val="true"/>
        <w:bidi w:val="0"/>
        <w:spacing w:lineRule="auto" w:line="276" w:before="0" w:after="0"/>
        <w:ind w:hanging="340" w:left="1077" w:right="0"/>
        <w:contextualSpacing/>
        <w:jc w:val="both"/>
        <w:rPr>
          <w:rFonts w:ascii="Arial" w:hAnsi="Arial" w:cs="Arial"/>
        </w:rPr>
      </w:pPr>
      <w:r>
        <w:rPr>
          <w:rFonts w:cs="Arial"/>
        </w:rPr>
        <w:t xml:space="preserve">Implementação do comportamento esperado no </w:t>
      </w:r>
      <w:r>
        <w:rPr>
          <w:rFonts w:cs="Arial"/>
          <w:i/>
          <w:iCs/>
        </w:rPr>
        <w:t>Interpreter</w:t>
      </w:r>
      <w:r>
        <w:rPr>
          <w:rFonts w:cs="Arial"/>
        </w:rPr>
        <w:t>.</w:t>
      </w:r>
    </w:p>
    <w:p>
      <w:pPr>
        <w:pStyle w:val="Normal"/>
        <w:widowControl/>
        <w:numPr>
          <w:ilvl w:val="0"/>
          <w:numId w:val="26"/>
        </w:numPr>
        <w:suppressAutoHyphens w:val="true"/>
        <w:bidi w:val="0"/>
        <w:spacing w:lineRule="auto" w:line="276" w:before="0" w:after="0"/>
        <w:ind w:hanging="340" w:left="1077" w:right="0"/>
        <w:contextualSpacing/>
        <w:jc w:val="both"/>
        <w:rPr>
          <w:rFonts w:ascii="Arial" w:hAnsi="Arial" w:cs="Arial"/>
        </w:rPr>
      </w:pPr>
      <w:r>
        <w:rPr>
          <w:rFonts w:cs="Arial"/>
        </w:rPr>
        <w:t xml:space="preserve">Rotina de </w:t>
      </w:r>
      <w:r>
        <w:rPr>
          <w:rFonts w:cs="Arial"/>
          <w:i/>
          <w:iCs/>
        </w:rPr>
        <w:t>lowering</w:t>
      </w:r>
      <w:r>
        <w:rPr>
          <w:rFonts w:cs="Arial"/>
        </w:rPr>
        <w:t xml:space="preserve"> e serialização para o formato .</w:t>
      </w:r>
      <w:r>
        <w:rPr>
          <w:rFonts w:cs="Arial"/>
          <w:i/>
          <w:iCs/>
        </w:rPr>
        <w:t>fvmbc</w:t>
      </w:r>
      <w:r>
        <w:rPr>
          <w:rFonts w:cs="Arial"/>
        </w:rPr>
        <w:t>.</w:t>
      </w:r>
    </w:p>
    <w:p>
      <w:pPr>
        <w:pStyle w:val="Normal"/>
        <w:widowControl/>
        <w:numPr>
          <w:ilvl w:val="0"/>
          <w:numId w:val="26"/>
        </w:numPr>
        <w:suppressAutoHyphens w:val="true"/>
        <w:bidi w:val="0"/>
        <w:spacing w:lineRule="auto" w:line="276" w:before="0" w:after="0"/>
        <w:ind w:hanging="340" w:left="1077" w:right="0"/>
        <w:contextualSpacing/>
        <w:jc w:val="both"/>
        <w:rPr>
          <w:rFonts w:ascii="Arial" w:hAnsi="Arial" w:cs="Arial"/>
        </w:rPr>
      </w:pPr>
      <w:r>
        <w:rPr>
          <w:rFonts w:cs="Arial"/>
        </w:rPr>
        <w:t xml:space="preserve">Rotina de </w:t>
      </w:r>
      <w:r>
        <w:rPr>
          <w:rFonts w:cs="Arial"/>
          <w:i/>
          <w:iCs/>
        </w:rPr>
        <w:t>lowering</w:t>
      </w:r>
      <w:r>
        <w:rPr>
          <w:rFonts w:cs="Arial"/>
        </w:rPr>
        <w:t xml:space="preserve"> e geração de </w:t>
      </w:r>
      <w:r>
        <w:rPr>
          <w:rFonts w:cs="Arial"/>
          <w:i/>
          <w:iCs/>
        </w:rPr>
        <w:t>bytecode</w:t>
      </w:r>
      <w:r>
        <w:rPr>
          <w:rFonts w:cs="Arial"/>
        </w:rPr>
        <w:t xml:space="preserve"> correspondente para .</w:t>
      </w:r>
      <w:r>
        <w:rPr>
          <w:rFonts w:cs="Arial"/>
          <w:i/>
          <w:iCs/>
        </w:rPr>
        <w:t>wasm</w:t>
      </w:r>
      <w:r>
        <w:rPr>
          <w:rFonts w:cs="Arial"/>
        </w:rPr>
        <w:t>.</w:t>
      </w:r>
    </w:p>
    <w:p>
      <w:pPr>
        <w:pStyle w:val="Normal"/>
        <w:widowControl/>
        <w:numPr>
          <w:ilvl w:val="0"/>
          <w:numId w:val="26"/>
        </w:numPr>
        <w:suppressAutoHyphens w:val="true"/>
        <w:bidi w:val="0"/>
        <w:spacing w:lineRule="auto" w:line="276" w:before="0" w:after="0"/>
        <w:ind w:hanging="340" w:left="1077" w:right="0"/>
        <w:contextualSpacing/>
        <w:jc w:val="both"/>
        <w:rPr>
          <w:rFonts w:ascii="Arial" w:hAnsi="Arial" w:cs="Arial"/>
        </w:rPr>
      </w:pPr>
      <w:r>
        <w:rPr>
          <w:rFonts w:cs="Arial"/>
        </w:rPr>
        <w:t>Suporte de execução equivalente na VM e ambientes de destino.</w:t>
      </w:r>
    </w:p>
    <w:p>
      <w:pPr>
        <w:pStyle w:val="Normal"/>
        <w:widowControl/>
        <w:numPr>
          <w:ilvl w:val="0"/>
          <w:numId w:val="26"/>
        </w:numPr>
        <w:suppressAutoHyphens w:val="true"/>
        <w:bidi w:val="0"/>
        <w:spacing w:lineRule="auto" w:line="276" w:before="0" w:after="0"/>
        <w:ind w:hanging="340" w:left="1077" w:right="0"/>
        <w:contextualSpacing/>
        <w:jc w:val="both"/>
        <w:rPr>
          <w:rFonts w:ascii="Arial" w:hAnsi="Arial" w:cs="Arial"/>
        </w:rPr>
      </w:pPr>
      <w:r>
        <w:rPr>
          <w:rFonts w:cs="Arial"/>
        </w:rPr>
        <w:t>Representação ou decisão explícita no Grafo de Dependência de Dados (DDG).</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Testes rigorosos de paridade e roundtrip entre todos os alvos de compilação.</w:t>
      </w:r>
    </w:p>
    <w:p>
      <w:pPr>
        <w:pStyle w:val="Normal"/>
        <w:spacing w:lineRule="auto" w:line="276" w:before="0" w:after="0"/>
        <w:contextualSpacing/>
        <w:jc w:val="both"/>
        <w:rPr>
          <w:rFonts w:ascii="Arial" w:hAnsi="Arial" w:cs="Arial"/>
        </w:rPr>
      </w:pPr>
      <w:r>
        <w:rPr>
          <w:rFonts w:cs="Arial"/>
        </w:rPr>
      </w:r>
    </w:p>
    <w:p>
      <w:pPr>
        <w:pStyle w:val="Normal"/>
        <w:spacing w:lineRule="auto" w:line="276" w:before="0" w:after="0"/>
        <w:contextualSpacing/>
        <w:jc w:val="both"/>
        <w:rPr>
          <w:rFonts w:ascii="Arial" w:hAnsi="Arial" w:cs="Arial"/>
        </w:rPr>
      </w:pPr>
      <w:r>
        <w:rPr>
          <w:rFonts w:cs="Arial"/>
        </w:rPr>
      </w:r>
    </w:p>
    <w:p>
      <w:pPr>
        <w:pStyle w:val="Heading2"/>
        <w:spacing w:lineRule="auto" w:line="276" w:before="0" w:after="0"/>
        <w:contextualSpacing/>
        <w:jc w:val="both"/>
        <w:rPr/>
      </w:pPr>
      <w:bookmarkStart w:id="63" w:name="__RefHeading___Toc8354_3056492648_Copia1"/>
      <w:bookmarkStart w:id="64" w:name="_Toc230559712_Copia_1_Copia_1"/>
      <w:bookmarkStart w:id="65" w:name="_Toc229957228_Copia_1_Copia_1"/>
      <w:bookmarkEnd w:id="63"/>
      <w:r>
        <w:rPr/>
        <w:t xml:space="preserve">6.5 </w:t>
      </w:r>
      <w:bookmarkEnd w:id="64"/>
      <w:bookmarkEnd w:id="65"/>
      <w:r>
        <w:rPr/>
        <w:t>Interface de Linha de Comando (CLI) e Alvos de Saída</w:t>
      </w:r>
    </w:p>
    <w:p>
      <w:pPr>
        <w:pStyle w:val="Normal"/>
        <w:widowControl/>
        <w:suppressAutoHyphens w:val="true"/>
        <w:bidi w:val="0"/>
        <w:spacing w:lineRule="auto" w:line="276" w:before="0" w:after="0"/>
        <w:ind w:firstLine="567" w:left="0" w:right="0"/>
        <w:contextualSpacing/>
        <w:jc w:val="both"/>
        <w:rPr>
          <w:rFonts w:ascii="Arial" w:hAnsi="Arial" w:cs="Arial"/>
        </w:rPr>
      </w:pPr>
      <w:r>
        <w:rPr>
          <w:rFonts w:cs="Arial"/>
        </w:rPr>
        <w:t>A CLI da FLUX mapeia os alvos de compilação e isola os artefatos gerados em diretórios padrão do sistema (.wasm, .exe, .sflux, .dflux, .dll, .so). Na versão atual, as diretivas de linha de comando possuem os seguintes status operacionais:</w:t>
      </w:r>
    </w:p>
    <w:p>
      <w:pPr>
        <w:pStyle w:val="Normal"/>
        <w:numPr>
          <w:ilvl w:val="0"/>
          <w:numId w:val="25"/>
        </w:numPr>
        <w:spacing w:lineRule="auto" w:line="276" w:before="0" w:after="0"/>
        <w:contextualSpacing/>
        <w:jc w:val="both"/>
        <w:rPr>
          <w:rFonts w:ascii="Arial" w:hAnsi="Arial" w:cs="Arial"/>
        </w:rPr>
      </w:pPr>
      <w:r>
        <w:rPr>
          <w:rFonts w:cs="Arial"/>
        </w:rPr>
        <w:t>--emit-fvmbc: Compila e gera o arquivo de bytecode JSON correspondente</w:t>
      </w:r>
    </w:p>
    <w:p>
      <w:pPr>
        <w:pStyle w:val="Normal"/>
        <w:numPr>
          <w:ilvl w:val="0"/>
          <w:numId w:val="25"/>
        </w:numPr>
        <w:spacing w:lineRule="auto" w:line="276" w:before="0" w:after="0"/>
        <w:contextualSpacing/>
        <w:jc w:val="both"/>
        <w:rPr>
          <w:rFonts w:ascii="Arial" w:hAnsi="Arial" w:cs="Arial"/>
        </w:rPr>
      </w:pPr>
      <w:r>
        <w:rPr>
          <w:rFonts w:cs="Arial"/>
        </w:rPr>
        <w:t>--emit-wasm: Ativa o pipeline de geração de WebAssembly equivalente</w:t>
      </w:r>
    </w:p>
    <w:p>
      <w:pPr>
        <w:pStyle w:val="Normal"/>
        <w:numPr>
          <w:ilvl w:val="0"/>
          <w:numId w:val="25"/>
        </w:numPr>
        <w:spacing w:lineRule="auto" w:line="276" w:before="0" w:after="0"/>
        <w:contextualSpacing/>
        <w:jc w:val="both"/>
        <w:rPr>
          <w:rFonts w:ascii="Arial" w:hAnsi="Arial" w:cs="Arial"/>
        </w:rPr>
      </w:pPr>
      <w:r>
        <w:rPr>
          <w:rFonts w:cs="Arial"/>
        </w:rPr>
        <w:t>--emit-sflux / --emit-dflux geração de executáveis estáticos e dinâmicos nativos da linguagem.</w:t>
      </w:r>
    </w:p>
    <w:p>
      <w:pPr>
        <w:pStyle w:val="Normal"/>
        <w:numPr>
          <w:ilvl w:val="0"/>
          <w:numId w:val="25"/>
        </w:numPr>
        <w:spacing w:lineRule="auto" w:line="276" w:before="0" w:after="0"/>
        <w:contextualSpacing/>
        <w:jc w:val="both"/>
        <w:rPr>
          <w:rFonts w:ascii="Arial" w:hAnsi="Arial" w:cs="Arial"/>
        </w:rPr>
      </w:pPr>
      <w:r>
        <w:rPr>
          <w:rFonts w:cs="Arial"/>
        </w:rPr>
        <w:t>--emit-lib / --emit-exec reservadas para o empacotamento de bibliotecas compartilhadas e binários executáveis finais do sistema.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7" name="Forma7"/>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66" w:name="__RefHeading___Toc8356_3056492648"/>
      <w:bookmarkStart w:id="67" w:name="_Toc230559713"/>
      <w:bookmarkStart w:id="68" w:name="_Toc229957229"/>
      <w:bookmarkEnd w:id="66"/>
      <w:r>
        <w:rPr>
          <w:rFonts w:cs="Arial" w:ascii="Arial" w:hAnsi="Arial"/>
          <w:b/>
          <w:bCs/>
        </w:rPr>
        <w:t>7 Filosofia de Interoperabilidade</w:t>
      </w:r>
      <w:bookmarkEnd w:id="67"/>
      <w:bookmarkEnd w:id="68"/>
    </w:p>
    <w:p>
      <w:pPr>
        <w:pStyle w:val="Normal"/>
        <w:spacing w:lineRule="auto" w:line="276" w:before="0" w:after="0"/>
        <w:ind w:firstLine="567"/>
        <w:contextualSpacing/>
        <w:jc w:val="both"/>
        <w:rPr/>
      </w:pPr>
      <w:r>
        <w:rPr/>
        <w:t xml:space="preserve">A </w:t>
      </w:r>
      <w:r>
        <w:rPr>
          <w:b/>
          <w:bCs/>
        </w:rPr>
        <w:t xml:space="preserve">FLUX </w:t>
      </w:r>
      <w:r>
        <w:rPr/>
        <w:t xml:space="preserve">adota a </w:t>
      </w:r>
      <w:r>
        <w:rPr>
          <w:b/>
          <w:bCs/>
        </w:rPr>
        <w:t>Indexação Base-1 (1-based indexing ou human-like)</w:t>
      </w:r>
      <w:r>
        <w:rPr/>
        <w:t xml:space="preserve"> como convenção e padrão universal invariante em todo o seu ecossistema, incluindo em </w:t>
      </w:r>
      <w:r>
        <w:rPr>
          <w:i/>
          <w:iCs/>
        </w:rPr>
        <w:t>slices</w:t>
      </w:r>
      <w:r>
        <w:rPr/>
        <w:t xml:space="preserve"> e índices. Essa decisão de design visa alinhar de forma direta a representação sintática da linguagem com as convenções formais da álgebra linear e da computação científica tradicional. Esta invariância estende-se de maneira homogênea por todas as camadas operacionais: </w:t>
      </w:r>
    </w:p>
    <w:p>
      <w:pPr>
        <w:pStyle w:val="Normal"/>
        <w:numPr>
          <w:ilvl w:val="0"/>
          <w:numId w:val="15"/>
        </w:numPr>
        <w:spacing w:lineRule="auto" w:line="276" w:before="0" w:after="0"/>
        <w:contextualSpacing/>
        <w:jc w:val="both"/>
        <w:rPr/>
      </w:pPr>
      <w:r>
        <w:rPr>
          <w:b/>
          <w:bCs/>
          <w:i/>
          <w:iCs/>
        </w:rPr>
        <w:t>kernel</w:t>
      </w:r>
      <w:r>
        <w:rPr>
          <w:b/>
          <w:bCs/>
        </w:rPr>
        <w:t>:</w:t>
      </w:r>
      <w:r>
        <w:rPr/>
        <w:t xml:space="preserve"> A resolução gramatical primária e as representações intermediárias (IR) interpretam nativamente o primeiro elemento de qualquer coleção ou dimensão estrutural por meio do índice literário 1.</w:t>
      </w:r>
    </w:p>
    <w:p>
      <w:pPr>
        <w:pStyle w:val="Normal"/>
        <w:numPr>
          <w:ilvl w:val="0"/>
          <w:numId w:val="15"/>
        </w:numPr>
        <w:spacing w:lineRule="auto" w:line="276" w:before="0" w:after="0"/>
        <w:contextualSpacing/>
        <w:jc w:val="both"/>
        <w:rPr/>
      </w:pPr>
      <w:r>
        <w:rPr>
          <w:b/>
          <w:bCs/>
        </w:rPr>
        <w:t>runtime:</w:t>
      </w:r>
      <w:r>
        <w:rPr/>
        <w:t xml:space="preserve"> Os subsistemas de gerenciamento, mapeamento de endereços físicos e cálculo de limites operam em estrita conformidade com o deslocamento lógico unitário.</w:t>
      </w:r>
    </w:p>
    <w:p>
      <w:pPr>
        <w:pStyle w:val="Normal"/>
        <w:numPr>
          <w:ilvl w:val="0"/>
          <w:numId w:val="15"/>
        </w:numPr>
        <w:spacing w:lineRule="auto" w:line="276" w:before="0" w:after="0"/>
        <w:contextualSpacing/>
        <w:jc w:val="both"/>
        <w:rPr/>
      </w:pPr>
      <w:r>
        <w:rPr>
          <w:b/>
          <w:bCs/>
          <w:i/>
          <w:iCs/>
        </w:rPr>
        <w:t>agent</w:t>
      </w:r>
      <w:r>
        <w:rPr>
          <w:b/>
          <w:bCs/>
        </w:rPr>
        <w:t>:</w:t>
      </w:r>
      <w:r>
        <w:rPr/>
        <w:t xml:space="preserve"> As sub-linguagens de contexto e os microcompiladores de domínio preservam a convenção matemática em seus escopos isolados.</w:t>
      </w:r>
    </w:p>
    <w:p>
      <w:pPr>
        <w:pStyle w:val="Normal"/>
        <w:numPr>
          <w:ilvl w:val="0"/>
          <w:numId w:val="15"/>
        </w:numPr>
        <w:spacing w:lineRule="auto" w:line="276" w:before="0" w:after="0"/>
        <w:contextualSpacing/>
        <w:jc w:val="both"/>
        <w:rPr/>
      </w:pPr>
      <w:r>
        <w:rPr>
          <w:b/>
          <w:bCs/>
          <w:i/>
          <w:iCs/>
        </w:rPr>
        <w:t>dataflows</w:t>
      </w:r>
      <w:r>
        <w:rPr>
          <w:b/>
          <w:bCs/>
        </w:rPr>
        <w:t>:</w:t>
      </w:r>
      <w:r>
        <w:rPr/>
        <w:t xml:space="preserve"> O encadeamento topológico e o fluxo de passagem de parâmetros mantêm a consistência de indexação ao longo de toda a esteira de dados.</w:t>
      </w:r>
    </w:p>
    <w:p>
      <w:pPr>
        <w:pStyle w:val="Normal"/>
        <w:numPr>
          <w:ilvl w:val="0"/>
          <w:numId w:val="15"/>
        </w:numPr>
        <w:spacing w:lineRule="auto" w:line="276" w:before="0" w:after="0"/>
        <w:contextualSpacing/>
        <w:jc w:val="both"/>
        <w:rPr/>
      </w:pPr>
      <w:r>
        <w:rPr>
          <w:b/>
          <w:bCs/>
        </w:rPr>
        <w:t>estruturas matemáticas:</w:t>
      </w:r>
      <w:r>
        <w:rPr/>
        <w:t xml:space="preserve"> Matrizes, vetores e tensores densos adotam o modelo biunívoco de mapeamento físico-matemático tradicional.</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69" w:name="__RefHeading___Toc8358_3056492648"/>
      <w:bookmarkStart w:id="70" w:name="_Toc230559714"/>
      <w:bookmarkStart w:id="71" w:name="_Toc229957230"/>
      <w:bookmarkEnd w:id="69"/>
      <w:r>
        <w:rPr>
          <w:rFonts w:cs="Arial" w:ascii="Arial" w:hAnsi="Arial"/>
        </w:rPr>
        <w:t>7.1 Compensação de Deslocamento (</w:t>
      </w:r>
      <w:r>
        <w:rPr>
          <w:rFonts w:cs="Arial" w:ascii="Arial" w:hAnsi="Arial"/>
          <w:i/>
          <w:iCs/>
        </w:rPr>
        <w:t>Index Offset Shifting</w:t>
      </w:r>
      <w:r>
        <w:rPr>
          <w:rFonts w:cs="Arial" w:ascii="Arial" w:hAnsi="Arial"/>
        </w:rPr>
        <w:t>)</w:t>
      </w:r>
      <w:bookmarkEnd w:id="70"/>
      <w:bookmarkEnd w:id="71"/>
    </w:p>
    <w:p>
      <w:pPr>
        <w:pStyle w:val="Normal"/>
        <w:spacing w:lineRule="auto" w:line="276" w:before="0" w:after="0"/>
        <w:ind w:firstLine="567"/>
        <w:contextualSpacing/>
        <w:jc w:val="both"/>
        <w:rPr/>
      </w:pPr>
      <w:r>
        <w:rPr/>
        <w:t xml:space="preserve">Visto que a infraestrutura física de hardware moderna e a maioria das bibliotecas de baixo nível operam sob a convenção de indexação base-0, a </w:t>
      </w:r>
      <w:r>
        <w:rPr>
          <w:b/>
          <w:bCs/>
        </w:rPr>
        <w:t xml:space="preserve">FLUX </w:t>
      </w:r>
      <w:r>
        <w:rPr/>
        <w:t xml:space="preserve">introduz o conceito de </w:t>
      </w:r>
      <w:r>
        <w:rPr>
          <w:b/>
          <w:bCs/>
        </w:rPr>
        <w:t>Isolamento de Fronteira por Compensação de Deslocamento (</w:t>
      </w:r>
      <w:r>
        <w:rPr>
          <w:b/>
          <w:bCs/>
          <w:i/>
          <w:iCs/>
        </w:rPr>
        <w:t>Pointer Offset Shifting</w:t>
      </w:r>
      <w:r>
        <w:rPr>
          <w:b/>
          <w:bCs/>
        </w:rPr>
        <w:t>)</w:t>
      </w:r>
      <w:r>
        <w:rPr/>
        <w:t xml:space="preserve">. A responsabilidade técnica de traduzir a indexação abstrata matemática (Base-1) para o endereçamento de memória física do hardware subjacente (Base-0) pertence inteiramente à camada dos </w:t>
      </w:r>
      <w:r>
        <w:rPr>
          <w:i/>
          <w:iCs/>
        </w:rPr>
        <w:t>agents</w:t>
      </w:r>
      <w:r>
        <w:rPr/>
        <w:t xml:space="preserve"> em tempo de execução ou na fase de geração de código de baixo nível (</w:t>
      </w:r>
      <w:r>
        <w:rPr>
          <w:i/>
          <w:iCs/>
        </w:rPr>
        <w:t>lowering stage</w:t>
      </w:r>
      <w:r>
        <w:rPr/>
        <w:t xml:space="preserve">). </w:t>
      </w:r>
    </w:p>
    <w:p>
      <w:pPr>
        <w:pStyle w:val="Normal"/>
        <w:spacing w:lineRule="auto" w:line="276" w:before="0" w:after="0"/>
        <w:ind w:firstLine="567"/>
        <w:contextualSpacing/>
        <w:jc w:val="both"/>
        <w:rPr/>
      </w:pPr>
      <w:r>
        <w:rPr/>
        <w:t xml:space="preserve">Essa compatibilização ocorre de forma transparente por meio da interface de funções externas (FFI) e de rotinas de tradução embarcadas nos </w:t>
      </w:r>
      <w:r>
        <w:rPr>
          <w:i/>
          <w:iCs/>
        </w:rPr>
        <w:t>agents</w:t>
      </w:r>
      <w:r>
        <w:rPr/>
        <w:t xml:space="preserve"> nos seguintes cenários:</w:t>
      </w:r>
    </w:p>
    <w:p>
      <w:pPr>
        <w:pStyle w:val="Normal"/>
        <w:numPr>
          <w:ilvl w:val="0"/>
          <w:numId w:val="16"/>
        </w:numPr>
        <w:spacing w:lineRule="auto" w:line="276" w:before="0" w:after="0"/>
        <w:contextualSpacing/>
        <w:jc w:val="both"/>
        <w:rPr/>
      </w:pPr>
      <w:r>
        <w:rPr>
          <w:b/>
          <w:bCs/>
        </w:rPr>
        <w:t xml:space="preserve">Aceleração Massiva em </w:t>
      </w:r>
      <w:r>
        <w:rPr>
          <w:b/>
          <w:bCs/>
          <w:i/>
          <w:iCs/>
        </w:rPr>
        <w:t>GPU</w:t>
      </w:r>
      <w:r>
        <w:rPr>
          <w:b/>
          <w:bCs/>
        </w:rPr>
        <w:t xml:space="preserve"> (CUDA e OpenCL):</w:t>
      </w:r>
      <w:r>
        <w:rPr/>
        <w:t xml:space="preserve"> O </w:t>
      </w:r>
      <w:r>
        <w:rPr>
          <w:i/>
          <w:iCs/>
        </w:rPr>
        <w:t>agent</w:t>
      </w:r>
      <w:r>
        <w:rPr/>
        <w:t xml:space="preserve"> intercepta os tensores e injeta a correção aritmética de ponteiros diretamente no despacho dos </w:t>
      </w:r>
      <w:r>
        <w:rPr>
          <w:i/>
          <w:iCs/>
        </w:rPr>
        <w:t>kernel</w:t>
      </w:r>
      <w:r>
        <w:rPr/>
        <w:t>s gráficos, alinhando perfeitamente a indexação matemática com o endereçamento de threads (threadIdx, blockIdx) de base-0.</w:t>
      </w:r>
    </w:p>
    <w:p>
      <w:pPr>
        <w:pStyle w:val="Normal"/>
        <w:numPr>
          <w:ilvl w:val="0"/>
          <w:numId w:val="16"/>
        </w:numPr>
        <w:spacing w:lineRule="auto" w:line="276" w:before="0" w:after="0"/>
        <w:contextualSpacing/>
        <w:jc w:val="both"/>
        <w:rPr/>
      </w:pPr>
      <w:r>
        <w:rPr>
          <w:b/>
          <w:bCs/>
        </w:rPr>
        <w:t>Matemática de Alto Desempenho (BLAS, MKL e LAPACK):</w:t>
      </w:r>
      <w:r>
        <w:rPr/>
        <w:t xml:space="preserve"> Os </w:t>
      </w:r>
      <w:r>
        <w:rPr>
          <w:i/>
          <w:iCs/>
        </w:rPr>
        <w:t>agents</w:t>
      </w:r>
      <w:r>
        <w:rPr/>
        <w:t xml:space="preserve"> realizam o retro ajuste aritmético de ponteiros de memória antes de despachar as matrizes estruturadas para as rotinas nativas otimizadas, garantindo que algoritmos escritos em C ou Fortran processem os dados sem corrupção de memória.</w:t>
      </w:r>
    </w:p>
    <w:p>
      <w:pPr>
        <w:pStyle w:val="Normal"/>
        <w:numPr>
          <w:ilvl w:val="0"/>
          <w:numId w:val="16"/>
        </w:numPr>
        <w:spacing w:lineRule="auto" w:line="276" w:before="0" w:after="0"/>
        <w:contextualSpacing/>
        <w:jc w:val="both"/>
        <w:rPr/>
      </w:pPr>
      <w:r>
        <w:rPr>
          <w:b/>
          <w:bCs/>
        </w:rPr>
        <w:t>Bibliotecas Externas e C-ABI:</w:t>
      </w:r>
      <w:r>
        <w:rPr/>
        <w:t xml:space="preserve"> Na comunicação com binários legados ou código compilado em C/C++, o </w:t>
      </w:r>
      <w:r>
        <w:rPr>
          <w:i/>
          <w:iCs/>
        </w:rPr>
        <w:t>agent</w:t>
      </w:r>
      <w:r>
        <w:rPr/>
        <w:t xml:space="preserve"> atua como uma camada de conformidade binária (</w:t>
      </w:r>
      <w:r>
        <w:rPr>
          <w:i/>
          <w:iCs/>
        </w:rPr>
        <w:t>ABI alignment layer</w:t>
      </w:r>
      <w:r>
        <w:rPr/>
        <w:t>), aplicando os decrementos de deslocamento necessários para mitigar erros de acesso fora dos limites (</w:t>
      </w:r>
      <w:r>
        <w:rPr>
          <w:i/>
          <w:iCs/>
        </w:rPr>
        <w:t>out-of-bounds access</w:t>
      </w:r>
      <w:r>
        <w:rPr/>
        <w:t>) e falhas de segmentação.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8" name="Forma8"/>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72" w:name="__RefHeading___Toc8360_3056492648"/>
      <w:bookmarkStart w:id="73" w:name="_Toc230559715"/>
      <w:bookmarkEnd w:id="72"/>
      <w:r>
        <w:rPr>
          <w:rFonts w:cs="Arial" w:ascii="Arial" w:hAnsi="Arial"/>
        </w:rPr>
        <w:t>8</w:t>
      </w:r>
      <w:bookmarkStart w:id="74" w:name="_Toc229957264"/>
      <w:r>
        <w:rPr>
          <w:rFonts w:cs="Arial" w:ascii="Arial" w:hAnsi="Arial"/>
        </w:rPr>
        <w:t xml:space="preserve"> Padronização de Indentação e Comentários</w:t>
      </w:r>
      <w:bookmarkEnd w:id="73"/>
      <w:bookmarkEnd w:id="74"/>
      <w:r>
        <w:rPr>
          <w:rFonts w:cs="Arial" w:ascii="Arial" w:hAnsi="Arial"/>
        </w:rPr>
        <w:t xml:space="preserve"> </w:t>
      </w:r>
    </w:p>
    <w:p>
      <w:pPr>
        <w:pStyle w:val="Normal"/>
        <w:spacing w:lineRule="auto" w:line="276" w:before="0" w:after="0"/>
        <w:ind w:firstLine="567"/>
        <w:contextualSpacing/>
        <w:jc w:val="both"/>
        <w:rPr/>
      </w:pPr>
      <w:r>
        <w:rPr/>
        <w:t xml:space="preserve">A indentação da </w:t>
      </w:r>
      <w:r>
        <w:rPr>
          <w:b/>
          <w:bCs/>
        </w:rPr>
        <w:t>FLUX</w:t>
      </w:r>
      <w:r>
        <w:rPr/>
        <w:t xml:space="preserve"> possui aspecto estritamente estrutural e obrigatório, devendo ser composta por múltiplos exatos de 6 espaços em branco. O analisador léxico valida essa regra ativamente, gerando tokens de início (</w:t>
      </w:r>
      <w:r>
        <w:rPr>
          <w:i/>
          <w:iCs/>
        </w:rPr>
        <w:t>INDENT</w:t>
      </w:r>
      <w:r>
        <w:rPr/>
        <w:t>) e fim (</w:t>
      </w:r>
      <w:r>
        <w:rPr>
          <w:i/>
          <w:iCs/>
        </w:rPr>
        <w:t>DEDENT</w:t>
      </w:r>
      <w:r>
        <w:rPr/>
        <w:t>) de bloco, os quais são consumidos pelo parser para determinar escopos e delimitar os blocos de execução.</w:t>
      </w:r>
    </w:p>
    <w:p>
      <w:pPr>
        <w:pStyle w:val="Normal"/>
        <w:spacing w:lineRule="auto" w:line="276" w:before="0" w:after="0"/>
        <w:ind w:firstLine="567"/>
        <w:contextualSpacing/>
        <w:jc w:val="both"/>
        <w:rPr/>
      </w:pPr>
      <w:r>
        <w:rPr/>
        <w:t xml:space="preserve">A gramática da </w:t>
      </w:r>
      <w:r>
        <w:rPr>
          <w:b/>
          <w:bCs/>
        </w:rPr>
        <w:t xml:space="preserve">FLUX </w:t>
      </w:r>
      <w:r>
        <w:rPr/>
        <w:t>define três categorias de diretivas léxicas para anotação de código. Durante a primeira fase da compilação (</w:t>
      </w:r>
      <w:r>
        <w:rPr>
          <w:i/>
          <w:iCs/>
        </w:rPr>
        <w:t>Lexical Analysis</w:t>
      </w:r>
      <w:r>
        <w:rPr/>
        <w:t>), o analisador léxico (</w:t>
      </w:r>
      <w:r>
        <w:rPr>
          <w:i/>
          <w:iCs/>
        </w:rPr>
        <w:t>scanner</w:t>
      </w:r>
      <w:r>
        <w:rPr/>
        <w:t xml:space="preserve">) processa essas marcações de duas maneiras distintas: como </w:t>
      </w:r>
      <w:r>
        <w:rPr>
          <w:b/>
          <w:bCs/>
        </w:rPr>
        <w:t>supressão absoluta</w:t>
      </w:r>
      <w:r>
        <w:rPr/>
        <w:t xml:space="preserve"> (ignorado pelo compilador) ou como </w:t>
      </w:r>
      <w:r>
        <w:rPr>
          <w:b/>
          <w:bCs/>
        </w:rPr>
        <w:t>extração de metadados</w:t>
      </w:r>
      <w:r>
        <w:rPr/>
        <w:t xml:space="preserve"> (acoplado à árvore de sintaxe para ferramentas externas).</w:t>
      </w:r>
    </w:p>
    <w:p>
      <w:pPr>
        <w:pStyle w:val="Normal"/>
        <w:spacing w:lineRule="auto" w:line="276" w:before="0" w:after="0"/>
        <w:ind w:hanging="0" w:left="0"/>
        <w:contextualSpacing/>
        <w:jc w:val="both"/>
        <w:rPr/>
      </w:pPr>
      <w:r>
        <w:rPr/>
      </w:r>
    </w:p>
    <w:p>
      <w:pPr>
        <w:pStyle w:val="Normal"/>
        <w:spacing w:before="0" w:after="0"/>
        <w:contextualSpacing/>
        <w:jc w:val="both"/>
        <w:rPr/>
      </w:pPr>
      <w:r>
        <w:rPr/>
      </w:r>
    </w:p>
    <w:p>
      <w:pPr>
        <w:pStyle w:val="Heading2"/>
        <w:spacing w:lineRule="auto" w:line="276" w:before="0" w:after="0"/>
        <w:contextualSpacing/>
        <w:rPr/>
      </w:pPr>
      <w:bookmarkStart w:id="75" w:name="__RefHeading___Toc8364_3056492648"/>
      <w:bookmarkStart w:id="76" w:name="_Toc230559717"/>
      <w:bookmarkEnd w:id="75"/>
      <w:r>
        <w:rPr>
          <w:rFonts w:cs="Arial" w:ascii="Arial" w:hAnsi="Arial"/>
        </w:rPr>
        <w:t>8</w:t>
      </w:r>
      <w:bookmarkStart w:id="77" w:name="_Toc229957265"/>
      <w:r>
        <w:rPr>
          <w:rFonts w:cs="Arial" w:ascii="Arial" w:hAnsi="Arial"/>
        </w:rPr>
        <w:t>.1 Exemplo de Comentário de linha única</w:t>
      </w:r>
      <w:bookmarkEnd w:id="76"/>
      <w:bookmarkEnd w:id="77"/>
    </w:p>
    <w:p>
      <w:pPr>
        <w:pStyle w:val="Normal"/>
        <w:spacing w:lineRule="auto" w:line="276" w:before="0" w:after="0"/>
        <w:ind w:firstLine="567"/>
        <w:contextualSpacing/>
        <w:jc w:val="both"/>
        <w:rPr/>
      </w:pPr>
      <w:r>
        <w:rPr/>
        <w:t>Supressão de Linha Única (Inline Comment), iniciada pelo token #L. O lexer entra em estado de descarte e ignora sequencialmente todos os caracteres subsequentes até interceptar o caractere terminador de avanço de linha (\n) ou o fim do arquivo (EOF).</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rPr>
          <w:rFonts w:ascii="Arial" w:hAnsi="Arial" w:cs="Arial"/>
        </w:rPr>
      </w:pPr>
      <w:bookmarkStart w:id="78" w:name="__RefHeading___Toc8366_3056492648"/>
      <w:bookmarkStart w:id="79" w:name="_Toc230559718"/>
      <w:bookmarkEnd w:id="78"/>
      <w:r>
        <w:rPr>
          <w:rFonts w:cs="Arial" w:ascii="Arial" w:hAnsi="Arial"/>
        </w:rPr>
        <w:t>8</w:t>
      </w:r>
      <w:bookmarkStart w:id="80" w:name="_Toc229957266"/>
      <w:r>
        <w:rPr>
          <w:rFonts w:cs="Arial" w:ascii="Arial" w:hAnsi="Arial"/>
        </w:rPr>
        <w:t>.2 Exemplo de Comentário de bloco de linhas</w:t>
      </w:r>
      <w:bookmarkEnd w:id="79"/>
      <w:bookmarkEnd w:id="80"/>
    </w:p>
    <w:p>
      <w:pPr>
        <w:pStyle w:val="Normal"/>
        <w:spacing w:lineRule="auto" w:line="276" w:before="0" w:after="0"/>
        <w:ind w:firstLine="567"/>
        <w:contextualSpacing/>
        <w:jc w:val="both"/>
        <w:rPr/>
      </w:pPr>
      <w:r>
        <w:rPr/>
        <w:t>Supressão de Escopo Delimitado (Block Comment), controlada pelo par de tokens #B (abertura) e B# (fechamento). Permite o descarte léxico seguro de múltiplas linhas, suprimindo temporariamente blocos inteiros da esteira de compilação sem gerar erros de sintaxe.</w:t>
      </w:r>
    </w:p>
    <w:p>
      <w:pPr>
        <w:pStyle w:val="Normal"/>
        <w:spacing w:lineRule="auto" w:line="276" w:before="0" w:after="0"/>
        <w:contextualSpacing/>
        <w:jc w:val="both"/>
        <w:rPr/>
      </w:pPr>
      <w:r>
        <w:rPr/>
      </w:r>
    </w:p>
    <w:p>
      <w:pPr>
        <w:pStyle w:val="Normal"/>
        <w:spacing w:lineRule="auto" w:line="276" w:before="0" w:after="0"/>
        <w:contextualSpacing/>
        <w:rPr/>
      </w:pPr>
      <w:r>
        <w:rPr/>
      </w:r>
    </w:p>
    <w:p>
      <w:pPr>
        <w:pStyle w:val="Heading2"/>
        <w:spacing w:lineRule="auto" w:line="276" w:before="0" w:after="0"/>
        <w:contextualSpacing/>
        <w:rPr/>
      </w:pPr>
      <w:bookmarkStart w:id="81" w:name="__RefHeading___Toc8368_3056492648"/>
      <w:bookmarkStart w:id="82" w:name="_Toc230559719"/>
      <w:bookmarkEnd w:id="81"/>
      <w:r>
        <w:rPr>
          <w:rFonts w:cs="Arial" w:ascii="Arial" w:hAnsi="Arial"/>
        </w:rPr>
        <w:t>8</w:t>
      </w:r>
      <w:bookmarkStart w:id="83" w:name="_Toc229957267"/>
      <w:r>
        <w:rPr>
          <w:rFonts w:cs="Arial" w:ascii="Arial" w:hAnsi="Arial"/>
        </w:rPr>
        <w:t>.3 Exemplo de Comentário de documentação</w:t>
      </w:r>
      <w:bookmarkEnd w:id="82"/>
      <w:bookmarkEnd w:id="83"/>
    </w:p>
    <w:p>
      <w:pPr>
        <w:pStyle w:val="Normal"/>
        <w:spacing w:lineRule="auto" w:line="276" w:before="0" w:after="0"/>
        <w:ind w:firstLine="567"/>
        <w:contextualSpacing/>
        <w:jc w:val="both"/>
        <w:rPr/>
      </w:pPr>
      <w:r>
        <w:rPr/>
        <w:t>A Diretiva de Extração de Metadados (Document Comment), delimitada pelo par #D e D#, atua de forma diferente das supressões convencionais: o lexer não descarta o seu conteúdo interno. Em vez disso, ele o preserva e o anexa como metadado (docstring) ao nó correspondente na Árvore de Sintaxe Abstrata (AST). Para garantir máxima interoperabilidade, o ecossistema extrai e exporta esses metadados estruturados estritamente em formato JSON. Essa arquitetura permite que ferramentas satélites (como Language Server Protocols - LSPs, analisadores estáticos e geradores de documentação) consumam os dados facilmente para a geração automatizada de manuais de terminal (manpages), sistemas de help e múltiplos formatos de leitura, incluindo HTML.</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9" name="Forma1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84" w:name="__RefHeading___Toc8370_3056492648"/>
      <w:bookmarkStart w:id="85" w:name="_Toc230559720"/>
      <w:bookmarkEnd w:id="84"/>
      <w:r>
        <w:rPr>
          <w:rFonts w:cs="Arial" w:ascii="Arial" w:hAnsi="Arial"/>
        </w:rPr>
        <w:t>9</w:t>
      </w:r>
      <w:bookmarkStart w:id="86" w:name="_Toc229957268"/>
      <w:r>
        <w:rPr>
          <w:rFonts w:cs="Arial" w:ascii="Arial" w:hAnsi="Arial"/>
        </w:rPr>
        <w:t xml:space="preserve"> Padronização da Nomenclatura</w:t>
      </w:r>
      <w:bookmarkEnd w:id="85"/>
      <w:bookmarkEnd w:id="86"/>
    </w:p>
    <w:p>
      <w:pPr>
        <w:pStyle w:val="Normal"/>
        <w:spacing w:lineRule="auto" w:line="276" w:before="0" w:after="0"/>
        <w:ind w:firstLine="567"/>
        <w:contextualSpacing/>
        <w:jc w:val="both"/>
        <w:rPr/>
      </w:pPr>
      <w:r>
        <w:rPr/>
        <w:t xml:space="preserve">A padronização de nomenclatura na </w:t>
      </w:r>
      <w:r>
        <w:rPr>
          <w:b/>
          <w:bCs/>
        </w:rPr>
        <w:t xml:space="preserve">FLUX </w:t>
      </w:r>
      <w:r>
        <w:rPr/>
        <w:t>atua como uma heurística visual para desenvolvedores e ferramentas de análise estática. O parser deve impor restrições sintáticas rígidas baseadas em capitalização (case-sensitive enforcement), a adoção destas diretrizes facilita a desambiguação rápida entre espaços de memória, despachos de execução e moldes de alocação durante a leitura do código.</w:t>
      </w:r>
    </w:p>
    <w:tbl>
      <w:tblPr>
        <w:tblStyle w:val="Tabelacomgrade"/>
        <w:tblW w:w="84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860"/>
        <w:gridCol w:w="2724"/>
        <w:gridCol w:w="3910"/>
      </w:tblGrid>
      <w:tr>
        <w:trPr/>
        <w:tc>
          <w:tcPr>
            <w:tcW w:w="1860"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Objeto</w:t>
            </w:r>
          </w:p>
        </w:tc>
        <w:tc>
          <w:tcPr>
            <w:tcW w:w="2724"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Padronização</w:t>
            </w:r>
          </w:p>
        </w:tc>
        <w:tc>
          <w:tcPr>
            <w:tcW w:w="3910"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Exemplos</w:t>
            </w:r>
          </w:p>
        </w:tc>
      </w:tr>
      <w:tr>
        <w:trPr/>
        <w:tc>
          <w:tcPr>
            <w:tcW w:w="1860"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imutáveis</w:t>
            </w:r>
          </w:p>
        </w:tc>
        <w:tc>
          <w:tcPr>
            <w:tcW w:w="2724" w:type="dxa"/>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SCREAMING_SNAKE</w:t>
            </w:r>
          </w:p>
        </w:tc>
        <w:tc>
          <w:tcPr>
            <w:tcW w:w="3910"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G, PI, VELOCIDADE_LUZ</w:t>
            </w:r>
          </w:p>
        </w:tc>
      </w:tr>
      <w:tr>
        <w:trPr/>
        <w:tc>
          <w:tcPr>
            <w:tcW w:w="1860"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mutáveis</w:t>
            </w:r>
          </w:p>
        </w:tc>
        <w:tc>
          <w:tcPr>
            <w:tcW w:w="2724" w:type="dxa"/>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snake_case</w:t>
            </w:r>
          </w:p>
        </w:tc>
        <w:tc>
          <w:tcPr>
            <w:tcW w:w="3910"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peso, velocidade_final, t</w:t>
            </w:r>
          </w:p>
        </w:tc>
      </w:tr>
      <w:tr>
        <w:trPr/>
        <w:tc>
          <w:tcPr>
            <w:tcW w:w="1860" w:type="dxa"/>
            <w:tcBorders/>
            <w:shd w:color="auto" w:fill="CAEDFB"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c>
          <w:tcPr>
            <w:tcW w:w="2724" w:type="dxa"/>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camelCase</w:t>
            </w:r>
          </w:p>
        </w:tc>
        <w:tc>
          <w:tcPr>
            <w:tcW w:w="3910"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somarVetores(), imprimeResultado()</w:t>
            </w:r>
          </w:p>
        </w:tc>
      </w:tr>
      <w:tr>
        <w:trPr>
          <w:trHeight w:val="205" w:hRule="atLeast"/>
        </w:trPr>
        <w:tc>
          <w:tcPr>
            <w:tcW w:w="1860" w:type="dxa"/>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cs="Arial"/>
                <w:b/>
                <w:bCs/>
                <w:i/>
                <w:iCs/>
                <w:kern w:val="2"/>
                <w:sz w:val="24"/>
                <w:szCs w:val="24"/>
                <w:lang w:val="pt-BR" w:eastAsia="en-US" w:bidi="ar-SA"/>
              </w:rPr>
              <w:t>Struct</w:t>
            </w:r>
          </w:p>
        </w:tc>
        <w:tc>
          <w:tcPr>
            <w:tcW w:w="2724" w:type="dxa"/>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camelCase</w:t>
            </w:r>
          </w:p>
        </w:tc>
        <w:tc>
          <w:tcPr>
            <w:tcW w:w="3910"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Campos conforme imut/mut</w:t>
            </w:r>
          </w:p>
        </w:tc>
      </w:tr>
      <w:tr>
        <w:trPr>
          <w:trHeight w:val="205" w:hRule="atLeast"/>
        </w:trPr>
        <w:tc>
          <w:tcPr>
            <w:tcW w:w="1860" w:type="dxa"/>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b/>
                <w:bCs/>
                <w:i/>
                <w:iCs/>
                <w:sz w:val="24"/>
              </w:rPr>
              <w:t>Enum</w:t>
            </w:r>
          </w:p>
        </w:tc>
        <w:tc>
          <w:tcPr>
            <w:tcW w:w="2724" w:type="dxa"/>
            <w:tcBorders/>
            <w:vAlign w:val="center"/>
          </w:tcPr>
          <w:p>
            <w:pPr>
              <w:pStyle w:val="Normal"/>
              <w:widowControl/>
              <w:suppressAutoHyphens w:val="true"/>
              <w:spacing w:before="0" w:after="0"/>
              <w:contextualSpacing/>
              <w:jc w:val="center"/>
              <w:rPr>
                <w:rFonts w:eastAsia="Aptos"/>
              </w:rPr>
            </w:pPr>
            <w:r>
              <w:rPr>
                <w:rStyle w:val="Cdigo-fonteuser"/>
                <w:sz w:val="24"/>
              </w:rPr>
              <w:t>PascalCase</w:t>
            </w:r>
          </w:p>
        </w:tc>
        <w:tc>
          <w:tcPr>
            <w:tcW w:w="3910" w:type="dxa"/>
            <w:tcBorders/>
            <w:vAlign w:val="center"/>
          </w:tcPr>
          <w:p>
            <w:pPr>
              <w:pStyle w:val="Normal"/>
              <w:widowControl/>
              <w:suppressAutoHyphens w:val="true"/>
              <w:spacing w:before="0" w:after="0"/>
              <w:contextualSpacing/>
              <w:jc w:val="both"/>
              <w:rPr>
                <w:rFonts w:eastAsia="Aptos"/>
              </w:rPr>
            </w:pPr>
            <w:r>
              <w:rPr>
                <w:rStyle w:val="Cdigo-fonteuser"/>
                <w:sz w:val="24"/>
              </w:rPr>
              <w:t>EstadoPedido</w:t>
            </w:r>
          </w:p>
        </w:tc>
      </w:tr>
      <w:tr>
        <w:trPr>
          <w:trHeight w:val="205" w:hRule="atLeast"/>
        </w:trPr>
        <w:tc>
          <w:tcPr>
            <w:tcW w:w="1860" w:type="dxa"/>
            <w:tcBorders>
              <w:top w:val="nil"/>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cs="Arial"/>
                <w:b/>
                <w:bCs/>
                <w:i/>
                <w:iCs/>
                <w:kern w:val="2"/>
                <w:sz w:val="24"/>
                <w:szCs w:val="24"/>
                <w:lang w:val="pt-BR" w:eastAsia="en-US" w:bidi="ar-SA"/>
              </w:rPr>
              <w:t>op</w:t>
            </w:r>
          </w:p>
        </w:tc>
        <w:tc>
          <w:tcPr>
            <w:tcW w:w="2724" w:type="dxa"/>
            <w:tcBorders>
              <w:top w:val="nil"/>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camelCase</w:t>
            </w:r>
          </w:p>
        </w:tc>
        <w:tc>
          <w:tcPr>
            <w:tcW w:w="3910" w:type="dxa"/>
            <w:tcBorders>
              <w:top w:val="nil"/>
            </w:tcBorders>
            <w:vAlign w:val="center"/>
          </w:tcPr>
          <w:p>
            <w:pPr>
              <w:pStyle w:val="Normal"/>
              <w:widowControl/>
              <w:suppressAutoHyphens w:val="true"/>
              <w:spacing w:before="0" w:after="0"/>
              <w:contextualSpacing/>
              <w:jc w:val="both"/>
              <w:rPr>
                <w:rFonts w:eastAsia="Aptos"/>
              </w:rPr>
            </w:pPr>
            <w:r>
              <w:rPr>
                <w:rFonts w:eastAsia="Aptos"/>
                <w:sz w:val="24"/>
              </w:rPr>
              <w:t>Exceto para imut</w:t>
            </w:r>
          </w:p>
        </w:tc>
      </w:tr>
      <w:tr>
        <w:trPr>
          <w:trHeight w:val="205" w:hRule="atLeast"/>
        </w:trPr>
        <w:tc>
          <w:tcPr>
            <w:tcW w:w="1860" w:type="dxa"/>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b/>
                <w:bCs/>
                <w:i/>
                <w:iCs/>
                <w:sz w:val="24"/>
              </w:rPr>
              <w:t>Alias de op</w:t>
            </w:r>
          </w:p>
        </w:tc>
        <w:tc>
          <w:tcPr>
            <w:tcW w:w="2724" w:type="dxa"/>
            <w:tcBorders/>
            <w:vAlign w:val="center"/>
          </w:tcPr>
          <w:p>
            <w:pPr>
              <w:pStyle w:val="Normal"/>
              <w:widowControl/>
              <w:suppressAutoHyphens w:val="true"/>
              <w:spacing w:before="0" w:after="0"/>
              <w:contextualSpacing/>
              <w:jc w:val="center"/>
              <w:rPr>
                <w:rFonts w:eastAsia="Aptos"/>
              </w:rPr>
            </w:pPr>
            <w:r>
              <w:rPr>
                <w:rStyle w:val="Cdigo-fonteuser"/>
                <w:sz w:val="24"/>
              </w:rPr>
              <w:t>camelCase</w:t>
            </w:r>
          </w:p>
        </w:tc>
        <w:tc>
          <w:tcPr>
            <w:tcW w:w="3910" w:type="dxa"/>
            <w:tcBorders/>
            <w:vAlign w:val="center"/>
          </w:tcPr>
          <w:p>
            <w:pPr>
              <w:pStyle w:val="Normal"/>
              <w:widowControl/>
              <w:suppressAutoHyphens w:val="true"/>
              <w:spacing w:before="0" w:after="0"/>
              <w:contextualSpacing/>
              <w:jc w:val="both"/>
              <w:rPr>
                <w:rFonts w:eastAsia="Aptos"/>
              </w:rPr>
            </w:pPr>
            <w:r>
              <w:rPr>
                <w:rStyle w:val="Cdigo-fonteuser"/>
                <w:sz w:val="24"/>
              </w:rPr>
              <w:t>::dot as produtoEscalar</w:t>
            </w:r>
          </w:p>
        </w:tc>
      </w:tr>
      <w:tr>
        <w:trPr>
          <w:trHeight w:val="205" w:hRule="atLeast"/>
        </w:trPr>
        <w:tc>
          <w:tcPr>
            <w:tcW w:w="1860" w:type="dxa"/>
            <w:tcBorders>
              <w:top w:val="nil"/>
            </w:tcBorders>
            <w:shd w:color="auto" w:fill="CAEDFB" w:val="clear"/>
            <w:vAlign w:val="center"/>
          </w:tcPr>
          <w:p>
            <w:pPr>
              <w:pStyle w:val="Normal"/>
              <w:widowControl/>
              <w:suppressAutoHyphens w:val="true"/>
              <w:spacing w:before="0" w:after="0"/>
              <w:contextualSpacing/>
              <w:jc w:val="center"/>
              <w:rPr>
                <w:rFonts w:eastAsia="Aptos"/>
                <w:i/>
                <w:iCs/>
              </w:rPr>
            </w:pPr>
            <w:r>
              <w:rPr>
                <w:rFonts w:eastAsia="Aptos" w:cs="Arial"/>
                <w:b/>
                <w:bCs/>
                <w:i/>
                <w:iCs/>
                <w:kern w:val="2"/>
                <w:sz w:val="24"/>
                <w:szCs w:val="24"/>
                <w:lang w:val="pt-BR" w:eastAsia="en-US" w:bidi="ar-SA"/>
              </w:rPr>
              <w:t>agent</w:t>
            </w:r>
          </w:p>
        </w:tc>
        <w:tc>
          <w:tcPr>
            <w:tcW w:w="2724" w:type="dxa"/>
            <w:tcBorders>
              <w:top w:val="nil"/>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PascalCase</w:t>
            </w:r>
          </w:p>
        </w:tc>
        <w:tc>
          <w:tcPr>
            <w:tcW w:w="3910" w:type="dxa"/>
            <w:tcBorders>
              <w:top w:val="nil"/>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Phys</w:t>
            </w:r>
            <w:r>
              <w:rPr>
                <w:rFonts w:eastAsia="Aptos" w:cs="Arial"/>
                <w:i/>
                <w:iCs/>
                <w:kern w:val="2"/>
                <w:sz w:val="24"/>
                <w:szCs w:val="24"/>
                <w:lang w:val="pt-BR" w:eastAsia="en-US" w:bidi="ar-SA"/>
              </w:rPr>
              <w:t>Agent</w:t>
            </w:r>
            <w:r>
              <w:rPr>
                <w:rFonts w:eastAsia="Aptos" w:cs="Arial"/>
                <w:kern w:val="2"/>
                <w:sz w:val="24"/>
                <w:szCs w:val="24"/>
                <w:lang w:val="pt-BR" w:eastAsia="en-US" w:bidi="ar-SA"/>
              </w:rPr>
              <w:t>, Ia</w:t>
            </w:r>
            <w:r>
              <w:rPr>
                <w:rFonts w:eastAsia="Aptos" w:cs="Arial"/>
                <w:i/>
                <w:iCs/>
                <w:kern w:val="2"/>
                <w:sz w:val="24"/>
                <w:szCs w:val="24"/>
                <w:lang w:val="pt-BR" w:eastAsia="en-US" w:bidi="ar-SA"/>
              </w:rPr>
              <w:t>Agent</w:t>
            </w:r>
            <w:r>
              <w:rPr>
                <w:rFonts w:eastAsia="Aptos" w:cs="Arial"/>
                <w:kern w:val="2"/>
                <w:sz w:val="24"/>
                <w:szCs w:val="24"/>
                <w:lang w:val="pt-BR" w:eastAsia="en-US" w:bidi="ar-SA"/>
              </w:rPr>
              <w:t>, Math</w:t>
            </w:r>
            <w:r>
              <w:rPr>
                <w:rFonts w:eastAsia="Aptos" w:cs="Arial"/>
                <w:i/>
                <w:iCs/>
                <w:kern w:val="2"/>
                <w:sz w:val="24"/>
                <w:szCs w:val="24"/>
                <w:lang w:val="pt-BR" w:eastAsia="en-US" w:bidi="ar-SA"/>
              </w:rPr>
              <w:t>Agent</w:t>
            </w:r>
          </w:p>
        </w:tc>
      </w:tr>
      <w:tr>
        <w:trPr>
          <w:trHeight w:val="205" w:hRule="atLeast"/>
        </w:trPr>
        <w:tc>
          <w:tcPr>
            <w:tcW w:w="1860" w:type="dxa"/>
            <w:tcBorders>
              <w:top w:val="nil"/>
            </w:tcBorders>
            <w:shd w:color="auto" w:fill="CAEDFB" w:val="clear"/>
            <w:vAlign w:val="center"/>
          </w:tcPr>
          <w:p>
            <w:pPr>
              <w:pStyle w:val="Normal"/>
              <w:widowControl/>
              <w:suppressAutoHyphens w:val="true"/>
              <w:spacing w:before="0" w:after="0"/>
              <w:contextualSpacing/>
              <w:jc w:val="center"/>
              <w:rPr>
                <w:rFonts w:eastAsia="Aptos"/>
                <w:b/>
                <w:bCs/>
                <w:i/>
                <w:iCs/>
                <w:sz w:val="24"/>
              </w:rPr>
            </w:pPr>
            <w:r>
              <w:rPr>
                <w:rFonts w:eastAsia="Aptos"/>
                <w:b/>
                <w:bCs/>
                <w:i/>
                <w:iCs/>
                <w:sz w:val="24"/>
              </w:rPr>
              <w:t>Alias de agent</w:t>
            </w:r>
          </w:p>
        </w:tc>
        <w:tc>
          <w:tcPr>
            <w:tcW w:w="2724" w:type="dxa"/>
            <w:tcBorders>
              <w:top w:val="nil"/>
            </w:tcBorders>
            <w:vAlign w:val="center"/>
          </w:tcPr>
          <w:p>
            <w:pPr>
              <w:pStyle w:val="Normal"/>
              <w:widowControl/>
              <w:suppressAutoHyphens w:val="true"/>
              <w:spacing w:before="0" w:after="0"/>
              <w:contextualSpacing/>
              <w:jc w:val="center"/>
              <w:rPr>
                <w:rFonts w:eastAsia="Aptos"/>
              </w:rPr>
            </w:pPr>
            <w:r>
              <w:rPr>
                <w:rStyle w:val="Cdigo-fonteuser"/>
                <w:sz w:val="24"/>
              </w:rPr>
              <w:t>PascalCase</w:t>
            </w:r>
          </w:p>
        </w:tc>
        <w:tc>
          <w:tcPr>
            <w:tcW w:w="3910" w:type="dxa"/>
            <w:tcBorders>
              <w:top w:val="nil"/>
            </w:tcBorders>
            <w:vAlign w:val="center"/>
          </w:tcPr>
          <w:p>
            <w:pPr>
              <w:pStyle w:val="Normal"/>
              <w:widowControl/>
              <w:suppressAutoHyphens w:val="true"/>
              <w:spacing w:before="0" w:after="0"/>
              <w:contextualSpacing/>
              <w:jc w:val="both"/>
              <w:rPr>
                <w:rFonts w:eastAsia="Aptos"/>
              </w:rPr>
            </w:pPr>
            <w:r>
              <w:rPr>
                <w:rStyle w:val="Cdigo-fonteuser"/>
                <w:sz w:val="24"/>
              </w:rPr>
              <w:t>MathAgent as AlgebraAgent</w:t>
            </w:r>
          </w:p>
        </w:tc>
      </w:tr>
      <w:tr>
        <w:trPr>
          <w:trHeight w:val="205" w:hRule="atLeast"/>
        </w:trPr>
        <w:tc>
          <w:tcPr>
            <w:tcW w:w="1860" w:type="dxa"/>
            <w:tcBorders>
              <w:top w:val="nil"/>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cs="Arial"/>
                <w:b/>
                <w:bCs/>
                <w:i/>
                <w:iCs/>
                <w:kern w:val="2"/>
                <w:sz w:val="24"/>
                <w:szCs w:val="24"/>
                <w:lang w:val="pt-BR" w:eastAsia="en-US" w:bidi="ar-SA"/>
              </w:rPr>
              <w:t>Contract</w:t>
            </w:r>
          </w:p>
        </w:tc>
        <w:tc>
          <w:tcPr>
            <w:tcW w:w="2724" w:type="dxa"/>
            <w:tcBorders>
              <w:top w:val="nil"/>
            </w:tcBorders>
            <w:vAlign w:val="center"/>
          </w:tcPr>
          <w:p>
            <w:pPr>
              <w:pStyle w:val="Normal"/>
              <w:widowControl/>
              <w:suppressAutoHyphens w:val="true"/>
              <w:spacing w:before="0" w:after="0"/>
              <w:contextualSpacing/>
              <w:jc w:val="center"/>
              <w:rPr>
                <w:rFonts w:eastAsia="Aptos"/>
              </w:rPr>
            </w:pPr>
            <w:r>
              <w:rPr>
                <w:rStyle w:val="Cdigo-fonteuser"/>
                <w:kern w:val="2"/>
                <w:sz w:val="24"/>
                <w:szCs w:val="24"/>
                <w:lang w:val="pt-BR" w:eastAsia="en-US" w:bidi="ar-SA"/>
              </w:rPr>
              <w:t>PascalCase</w:t>
            </w:r>
          </w:p>
        </w:tc>
        <w:tc>
          <w:tcPr>
            <w:tcW w:w="3910" w:type="dxa"/>
            <w:tcBorders>
              <w:top w:val="nil"/>
            </w:tcBorders>
            <w:vAlign w:val="center"/>
          </w:tcPr>
          <w:p>
            <w:pPr>
              <w:pStyle w:val="Normal"/>
              <w:widowControl/>
              <w:suppressAutoHyphens w:val="true"/>
              <w:spacing w:before="0" w:after="0"/>
              <w:contextualSpacing/>
              <w:jc w:val="both"/>
              <w:rPr>
                <w:rFonts w:eastAsia="Aptos"/>
              </w:rPr>
            </w:pPr>
            <w:r>
              <w:rPr>
                <w:rStyle w:val="Cdigo-fonteuser"/>
                <w:kern w:val="2"/>
                <w:sz w:val="24"/>
                <w:szCs w:val="24"/>
                <w:lang w:val="pt-BR" w:eastAsia="en-US" w:bidi="ar-SA"/>
              </w:rPr>
              <w:t>contract (MathContract)</w:t>
            </w:r>
          </w:p>
        </w:tc>
      </w:tr>
      <w:tr>
        <w:trPr>
          <w:trHeight w:val="205" w:hRule="atLeast"/>
        </w:trPr>
        <w:tc>
          <w:tcPr>
            <w:tcW w:w="1860" w:type="dxa"/>
            <w:tcBorders>
              <w:top w:val="nil"/>
            </w:tcBorders>
            <w:shd w:color="auto" w:fill="CAEDFB" w:val="clear"/>
            <w:vAlign w:val="center"/>
          </w:tcPr>
          <w:p>
            <w:pPr>
              <w:pStyle w:val="Normal"/>
              <w:widowControl/>
              <w:suppressAutoHyphens w:val="true"/>
              <w:spacing w:before="0" w:after="0"/>
              <w:contextualSpacing/>
              <w:jc w:val="center"/>
              <w:rPr>
                <w:rFonts w:eastAsia="Aptos"/>
                <w:b/>
                <w:bCs/>
                <w:i/>
                <w:iCs/>
              </w:rPr>
            </w:pPr>
            <w:r>
              <w:rPr>
                <w:rFonts w:eastAsia="Aptos" w:cs="Arial"/>
                <w:b/>
                <w:bCs/>
                <w:i/>
                <w:iCs/>
                <w:kern w:val="2"/>
                <w:sz w:val="24"/>
                <w:szCs w:val="24"/>
                <w:lang w:val="pt-BR" w:eastAsia="en-US" w:bidi="ar-SA"/>
              </w:rPr>
              <w:t>program</w:t>
            </w:r>
          </w:p>
        </w:tc>
        <w:tc>
          <w:tcPr>
            <w:tcW w:w="2724" w:type="dxa"/>
            <w:tcBorders>
              <w:top w:val="nil"/>
            </w:tcBorders>
            <w:vAlign w:val="center"/>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PascalCase</w:t>
            </w:r>
          </w:p>
        </w:tc>
        <w:tc>
          <w:tcPr>
            <w:tcW w:w="3910" w:type="dxa"/>
            <w:tcBorders>
              <w:top w:val="nil"/>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(HelloWorld)</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0" name="Forma18"/>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87" w:name="__RefHeading___Toc8372_3056492648"/>
      <w:bookmarkStart w:id="88" w:name="_Toc230559721"/>
      <w:bookmarkStart w:id="89" w:name="_Toc229957274"/>
      <w:bookmarkEnd w:id="87"/>
      <w:r>
        <w:rPr>
          <w:rFonts w:cs="Arial" w:ascii="Arial" w:hAnsi="Arial"/>
        </w:rPr>
        <w:t>10 Padronização de Continuidade de Linha</w:t>
      </w:r>
      <w:bookmarkEnd w:id="88"/>
      <w:bookmarkEnd w:id="89"/>
    </w:p>
    <w:p>
      <w:pPr>
        <w:pStyle w:val="Normal"/>
        <w:spacing w:lineRule="auto" w:line="276" w:before="0" w:after="0"/>
        <w:ind w:firstLine="567"/>
        <w:contextualSpacing/>
        <w:jc w:val="both"/>
        <w:rPr/>
      </w:pPr>
      <w:r>
        <w:rPr/>
        <w:t xml:space="preserve">A </w:t>
      </w:r>
      <w:r>
        <w:rPr>
          <w:b/>
          <w:bCs/>
        </w:rPr>
        <w:t xml:space="preserve">FLUX </w:t>
      </w:r>
      <w:r>
        <w:rPr/>
        <w:t>adota um analisador sintático (</w:t>
      </w:r>
      <w:r>
        <w:rPr>
          <w:i/>
          <w:iCs/>
        </w:rPr>
        <w:t>parser</w:t>
      </w:r>
      <w:r>
        <w:rPr/>
        <w:t>) limpo, onde a terminação de instrução (</w:t>
      </w:r>
      <w:r>
        <w:rPr>
          <w:i/>
          <w:iCs/>
        </w:rPr>
        <w:t>statement termination</w:t>
      </w:r>
      <w:r>
        <w:rPr/>
        <w:t>) é inferida implicitamente pelas quebras de linha (caractere \n), dispensando a exigência de delimitadores explícitos de fim de comando (como ;) no código-fonte.</w:t>
      </w:r>
    </w:p>
    <w:p>
      <w:pPr>
        <w:pStyle w:val="Normal"/>
        <w:spacing w:lineRule="auto" w:line="276" w:before="0" w:after="0"/>
        <w:ind w:firstLine="567"/>
        <w:contextualSpacing/>
        <w:jc w:val="both"/>
        <w:rPr/>
      </w:pPr>
      <w:r>
        <w:rPr/>
        <w:t xml:space="preserve">Entretanto, para suportar a legibilidade de equações matemáticas complexas e </w:t>
      </w:r>
      <w:r>
        <w:rPr>
          <w:i/>
          <w:iCs/>
        </w:rPr>
        <w:t>pipelines</w:t>
      </w:r>
      <w:r>
        <w:rPr/>
        <w:t xml:space="preserve"> longas, o compilador implementa uma heurística de </w:t>
      </w:r>
      <w:r>
        <w:rPr>
          <w:b/>
          <w:bCs/>
        </w:rPr>
        <w:t>Operadores Pendentes (</w:t>
      </w:r>
      <w:r>
        <w:rPr>
          <w:b/>
          <w:bCs/>
          <w:i/>
          <w:iCs/>
        </w:rPr>
        <w:t>Trailing Operators</w:t>
      </w:r>
      <w:r>
        <w:rPr>
          <w:b/>
          <w:bCs/>
        </w:rPr>
        <w:t>)</w:t>
      </w:r>
      <w:r>
        <w:rPr/>
        <w:t>. Quando o analisador léxico (</w:t>
      </w:r>
      <w:r>
        <w:rPr>
          <w:i/>
          <w:iCs/>
        </w:rPr>
        <w:t>scanner</w:t>
      </w:r>
      <w:r>
        <w:rPr/>
        <w:t xml:space="preserve">) detecta que o último </w:t>
      </w:r>
      <w:r>
        <w:rPr>
          <w:i/>
          <w:iCs/>
        </w:rPr>
        <w:t>token</w:t>
      </w:r>
      <w:r>
        <w:rPr/>
        <w:t xml:space="preserve"> válido de uma linha pertence a uma classe de conectores lógicos ou estruturais, ele suspende a injeção do fechamento de instrução e realiza a fusão estrutural (</w:t>
      </w:r>
      <w:r>
        <w:rPr>
          <w:i/>
          <w:iCs/>
        </w:rPr>
        <w:t>line splicing</w:t>
      </w:r>
      <w:r>
        <w:rPr/>
        <w:t>) com a linha subsequente, estendendo a ramificação na Árvore de Sintaxe Abstrata (AST) até a resolução plena do nó terminal.</w:t>
      </w:r>
    </w:p>
    <w:p>
      <w:pPr>
        <w:pStyle w:val="Normal"/>
        <w:spacing w:lineRule="auto" w:line="276" w:before="0" w:after="0"/>
        <w:contextualSpacing/>
        <w:jc w:val="both"/>
        <w:rPr/>
      </w:pPr>
      <w:r>
        <w:rPr/>
      </w:r>
    </w:p>
    <w:tbl>
      <w:tblPr>
        <w:tblStyle w:val="Tabelacomgrade"/>
        <w:tblW w:w="742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74"/>
        <w:gridCol w:w="5148"/>
      </w:tblGrid>
      <w:tr>
        <w:trPr/>
        <w:tc>
          <w:tcPr>
            <w:tcW w:w="2274"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Categoria</w:t>
            </w:r>
          </w:p>
        </w:tc>
        <w:tc>
          <w:tcPr>
            <w:tcW w:w="5148"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 Pendente</w:t>
            </w:r>
          </w:p>
        </w:tc>
      </w:tr>
      <w:tr>
        <w:trPr/>
        <w:tc>
          <w:tcPr>
            <w:tcW w:w="2274"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Fluxo</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--&gt; e ==&gt;, join, split</w:t>
            </w:r>
          </w:p>
        </w:tc>
      </w:tr>
      <w:tr>
        <w:trPr/>
        <w:tc>
          <w:tcPr>
            <w:tcW w:w="2274" w:type="dxa"/>
            <w:tcBorders>
              <w:top w:val="nil"/>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Matemáticos</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 -, *, /f, /i, /r, ^e, ^r, =</w:t>
            </w:r>
          </w:p>
        </w:tc>
      </w:tr>
      <w:tr>
        <w:trPr/>
        <w:tc>
          <w:tcPr>
            <w:tcW w:w="2274" w:type="dxa"/>
            <w:tcBorders>
              <w:top w:val="nil"/>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Matemáticos AC</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 =-, =*, =/f, =/i, =/r, =^e, =^r</w:t>
            </w:r>
          </w:p>
        </w:tc>
      </w:tr>
      <w:tr>
        <w:trPr/>
        <w:tc>
          <w:tcPr>
            <w:tcW w:w="2274" w:type="dxa"/>
            <w:tcBorders>
              <w:top w:val="nil"/>
            </w:tcBorders>
            <w:shd w:color="auto" w:fill="CAEDFB"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Bitwise</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&amp;, |, ^, ~, &lt;&lt;, &gt;&gt;, &gt;&gt;&gt;</w:t>
            </w:r>
          </w:p>
        </w:tc>
      </w:tr>
      <w:tr>
        <w:trPr/>
        <w:tc>
          <w:tcPr>
            <w:tcW w:w="2274" w:type="dxa"/>
            <w:tcBorders>
              <w:top w:val="nil"/>
            </w:tcBorders>
            <w:shd w:color="auto" w:fill="CAEDFB"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Bitwise AC</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=&amp;, =|, =^, =~, =&lt;&lt;, =&gt;&gt;, =&gt;&gt;&gt;</w:t>
            </w:r>
          </w:p>
        </w:tc>
      </w:tr>
      <w:tr>
        <w:trPr/>
        <w:tc>
          <w:tcPr>
            <w:tcW w:w="2274" w:type="dxa"/>
            <w:tcBorders>
              <w:top w:val="nil"/>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Lógica</w:t>
            </w:r>
          </w:p>
        </w:tc>
        <w:tc>
          <w:tcPr>
            <w:tcW w:w="5148"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and, or, not, ==, !=, &lt;, &gt;, &lt;=, &gt;=, ?</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1" name="Forma2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90" w:name="__RefHeading___Toc8374_3056492648"/>
      <w:bookmarkStart w:id="91" w:name="_Toc230559725"/>
      <w:bookmarkEnd w:id="90"/>
      <w:r>
        <w:rPr>
          <w:rFonts w:cs="Arial" w:ascii="Arial" w:hAnsi="Arial"/>
          <w:b/>
          <w:bCs/>
        </w:rPr>
        <w:t>11</w:t>
      </w:r>
      <w:bookmarkStart w:id="92" w:name="_Toc229957250"/>
      <w:r>
        <w:rPr>
          <w:rFonts w:cs="Arial" w:ascii="Arial" w:hAnsi="Arial"/>
          <w:b/>
          <w:bCs/>
        </w:rPr>
        <w:t xml:space="preserve"> Tipos Fundamentais</w:t>
      </w:r>
      <w:bookmarkEnd w:id="91"/>
      <w:bookmarkEnd w:id="92"/>
    </w:p>
    <w:p>
      <w:pPr>
        <w:pStyle w:val="Normal"/>
        <w:spacing w:lineRule="auto" w:line="276" w:before="0" w:after="0"/>
        <w:ind w:firstLine="567"/>
        <w:contextualSpacing/>
        <w:jc w:val="both"/>
        <w:rPr/>
      </w:pPr>
      <w:r>
        <w:rPr/>
        <w:t xml:space="preserve">A linguagem </w:t>
      </w:r>
      <w:r>
        <w:rPr>
          <w:b/>
          <w:bCs/>
        </w:rPr>
        <w:t xml:space="preserve">FLUX </w:t>
      </w:r>
      <w:r>
        <w:rPr/>
        <w:t xml:space="preserve">adota um sistema de tipos unificado e focado no processamento de dados em fluxo. A arquitetura classifica os tipos não apenas pela sua natureza de alocação, mas também pelo seu </w:t>
      </w:r>
      <w:r>
        <w:rPr>
          <w:i/>
          <w:iCs/>
        </w:rPr>
        <w:t>rank</w:t>
      </w:r>
      <w:r>
        <w:rPr/>
        <w:t xml:space="preserve"> (grau dimensional).</w:t>
      </w:r>
    </w:p>
    <w:p>
      <w:pPr>
        <w:pStyle w:val="Normal"/>
        <w:spacing w:lineRule="auto" w:line="276" w:before="0" w:after="0"/>
        <w:ind w:firstLine="567"/>
        <w:contextualSpacing/>
        <w:jc w:val="both"/>
        <w:rPr/>
      </w:pPr>
      <w:r>
        <w:rPr/>
        <w:t xml:space="preserve">O </w:t>
      </w:r>
      <w:r>
        <w:rPr>
          <w:i/>
          <w:iCs/>
        </w:rPr>
        <w:t>rank</w:t>
      </w:r>
      <w:r>
        <w:rPr/>
        <w:t xml:space="preserve"> dita a topologia matemática da variável: um </w:t>
      </w:r>
      <w:r>
        <w:rPr>
          <w:i/>
          <w:iCs/>
        </w:rPr>
        <w:t>Rank 0</w:t>
      </w:r>
      <w:r>
        <w:rPr/>
        <w:t xml:space="preserve"> representa um escalar puro (um único valor em um ponto da memória), enquanto um </w:t>
      </w:r>
      <w:r>
        <w:rPr>
          <w:i/>
          <w:iCs/>
        </w:rPr>
        <w:t>rank N</w:t>
      </w:r>
      <w:r>
        <w:rPr/>
        <w:t xml:space="preserve"> representa estruturas encadeadas que sofrerão varredura iterativa (</w:t>
      </w:r>
      <w:r>
        <w:rPr>
          <w:i/>
          <w:iCs/>
        </w:rPr>
        <w:t>broadcasting</w:t>
      </w:r>
      <w:r>
        <w:rPr/>
        <w:t xml:space="preserve"> e vetorização) durante a passagem pelos </w:t>
      </w:r>
      <w:r>
        <w:rPr>
          <w:i/>
          <w:iCs/>
        </w:rPr>
        <w:t>agentes</w:t>
      </w:r>
      <w:r>
        <w:rPr/>
        <w:t>.</w:t>
      </w:r>
    </w:p>
    <w:p>
      <w:pPr>
        <w:pStyle w:val="Normal"/>
        <w:spacing w:lineRule="auto" w:line="276" w:before="0" w:after="0"/>
        <w:contextualSpacing/>
        <w:jc w:val="both"/>
        <w:rPr/>
      </w:pPr>
      <w:r>
        <w:rPr/>
      </w:r>
    </w:p>
    <w:tbl>
      <w:tblPr>
        <w:tblStyle w:val="Tabelacomgrade"/>
        <w:tblW w:w="850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636"/>
        <w:gridCol w:w="6130"/>
        <w:gridCol w:w="742"/>
      </w:tblGrid>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Tipo</w:t>
            </w:r>
          </w:p>
        </w:tc>
        <w:tc>
          <w:tcPr>
            <w:tcW w:w="6130"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Finalidade</w:t>
            </w:r>
          </w:p>
        </w:tc>
        <w:tc>
          <w:tcPr>
            <w:tcW w:w="742"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i/>
                <w:iCs/>
                <w:kern w:val="2"/>
                <w:sz w:val="24"/>
                <w:szCs w:val="24"/>
                <w:lang w:val="pt-BR" w:eastAsia="en-US" w:bidi="ar-SA"/>
              </w:rPr>
              <w:t>rank</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int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Inteiro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bigint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sz w:val="24"/>
              </w:rPr>
              <w:t>Inteiro de precisão arbitrária (futuro)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sz w:val="24"/>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uint</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sz w:val="24"/>
              </w:rPr>
              <w:t>Inteiro sem sinal</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sz w:val="24"/>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biguint</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Inteiro sem sinal de precisão arbitrária (futuro)</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float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Ponto Flutuante</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bigfloat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Ponto Flutuante de precisão arbitrária (futuro)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fp8_e4m3</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Ponto Flutuante, inferência e pesos em RN.</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fp8_e5m2</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Ponto Flutuante, treinamento de IA e gradientes.</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bf16_e8m7</w:t>
            </w:r>
          </w:p>
        </w:tc>
        <w:tc>
          <w:tcPr>
            <w:tcW w:w="6130" w:type="dxa"/>
            <w:tcBorders>
              <w:top w:val="nil"/>
            </w:tcBorders>
            <w:vAlign w:val="bottom"/>
          </w:tcPr>
          <w:p>
            <w:pPr>
              <w:pStyle w:val="Normal"/>
              <w:widowControl/>
              <w:suppressAutoHyphens w:val="true"/>
              <w:spacing w:before="0" w:after="0"/>
              <w:contextualSpacing/>
              <w:jc w:val="both"/>
              <w:rPr>
                <w:rFonts w:ascii="Arial" w:hAnsi="Arial" w:eastAsia="Aptos" w:cs="Arial"/>
                <w:kern w:val="2"/>
                <w:sz w:val="24"/>
                <w:szCs w:val="24"/>
                <w:lang w:val="pt-BR" w:eastAsia="en-US" w:bidi="ar-SA"/>
              </w:rPr>
            </w:pPr>
            <w:r>
              <w:rPr>
                <w:rFonts w:eastAsia="Aptos" w:cs="Arial"/>
                <w:kern w:val="2"/>
                <w:sz w:val="24"/>
                <w:szCs w:val="24"/>
                <w:lang w:val="pt-BR" w:eastAsia="en-US" w:bidi="ar-SA"/>
              </w:rPr>
              <w:t>Ponto Flutuante, treinamento e a inferência de IA.</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tf32_e8m10</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Ponto Flutuante, utilizado para TensorCore</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complex</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Número Complexo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bigcomplex</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Número Complexo de precisão arbitrária (futuro)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tensor</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Estrutura matemática ND (Multidimensional)</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N</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bool</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Lógico (true ou false)</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datetime</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 xml:space="preserve">Data/tempo: </w:t>
            </w:r>
            <w:r>
              <w:rPr>
                <w:rFonts w:eastAsia="Aptos" w:cs="Arial"/>
                <w:kern w:val="2"/>
                <w:sz w:val="22"/>
                <w:szCs w:val="22"/>
                <w:lang w:val="pt-BR" w:eastAsia="en-US" w:bidi="ar-SA"/>
              </w:rPr>
              <w:t>YYYY-MM-DDTHH:MM:SS.NNNNNNNNNZ</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char</w:t>
            </w:r>
          </w:p>
        </w:tc>
        <w:tc>
          <w:tcPr>
            <w:tcW w:w="6130" w:type="dxa"/>
            <w:tcBorders>
              <w:top w:val="nil"/>
            </w:tcBorders>
            <w:vAlign w:val="bottom"/>
          </w:tcPr>
          <w:p>
            <w:pPr>
              <w:pStyle w:val="Normal"/>
              <w:widowControl/>
              <w:suppressAutoHyphens w:val="true"/>
              <w:spacing w:before="0" w:after="0"/>
              <w:jc w:val="left"/>
              <w:rPr>
                <w:rFonts w:eastAsia="Aptos"/>
              </w:rPr>
            </w:pPr>
            <w:r>
              <w:rPr>
                <w:rFonts w:eastAsia="Aptos" w:cs="Arial"/>
                <w:kern w:val="2"/>
                <w:sz w:val="24"/>
                <w:szCs w:val="24"/>
                <w:lang w:val="pt-BR" w:eastAsia="en-US" w:bidi="ar-SA"/>
              </w:rPr>
              <w:t>Caractere único</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0</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string</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Cadeia de texto</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1</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set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Coleção mutável de elementos únicos homogêneos</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1</w:t>
            </w:r>
          </w:p>
        </w:tc>
      </w:tr>
      <w:tr>
        <w:trPr/>
        <w:tc>
          <w:tcPr>
            <w:tcW w:w="1636"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list</w:t>
            </w:r>
          </w:p>
        </w:tc>
        <w:tc>
          <w:tcPr>
            <w:tcW w:w="6130" w:type="dxa"/>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Sequência mutável homogênea indexada</w:t>
            </w:r>
          </w:p>
        </w:tc>
        <w:tc>
          <w:tcPr>
            <w:tcW w:w="742" w:type="dxa"/>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1</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map</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Estrutura de chave-valor heterogênea</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1</w:t>
            </w:r>
          </w:p>
        </w:tc>
      </w:tr>
      <w:tr>
        <w:trPr/>
        <w:tc>
          <w:tcPr>
            <w:tcW w:w="1636"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data</w:t>
            </w:r>
          </w:p>
        </w:tc>
        <w:tc>
          <w:tcPr>
            <w:tcW w:w="6130" w:type="dxa"/>
            <w:tcBorders>
              <w:top w:val="nil"/>
            </w:tcBorders>
            <w:vAlign w:val="bottom"/>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Contêiner estrutural heterogêneo sem tipagem</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cs="Arial"/>
                <w:kern w:val="2"/>
                <w:sz w:val="24"/>
                <w:szCs w:val="24"/>
                <w:lang w:val="pt-BR" w:eastAsia="en-US" w:bidi="ar-SA"/>
              </w:rPr>
              <w:t>N</w:t>
            </w:r>
          </w:p>
        </w:tc>
      </w:tr>
      <w:tr>
        <w:trPr/>
        <w:tc>
          <w:tcPr>
            <w:tcW w:w="1636"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struct</w:t>
            </w:r>
          </w:p>
        </w:tc>
        <w:tc>
          <w:tcPr>
            <w:tcW w:w="6130" w:type="dxa"/>
            <w:tcBorders>
              <w:top w:val="nil"/>
            </w:tcBorders>
            <w:vAlign w:val="bottom"/>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Define um molde para tipos heterogêneos</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sz w:val="24"/>
              </w:rPr>
            </w:r>
          </w:p>
        </w:tc>
      </w:tr>
      <w:tr>
        <w:trPr/>
        <w:tc>
          <w:tcPr>
            <w:tcW w:w="1636"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enum</w:t>
            </w:r>
          </w:p>
        </w:tc>
        <w:tc>
          <w:tcPr>
            <w:tcW w:w="6130" w:type="dxa"/>
            <w:tcBorders>
              <w:top w:val="nil"/>
            </w:tcBorders>
            <w:vAlign w:val="bottom"/>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Define uma enumeração de estados ou tipos</w:t>
            </w:r>
          </w:p>
        </w:tc>
        <w:tc>
          <w:tcPr>
            <w:tcW w:w="742" w:type="dxa"/>
            <w:tcBorders>
              <w:top w:val="nil"/>
            </w:tcBorders>
            <w:vAlign w:val="bottom"/>
          </w:tcPr>
          <w:p>
            <w:pPr>
              <w:pStyle w:val="Normal"/>
              <w:widowControl/>
              <w:suppressAutoHyphens w:val="true"/>
              <w:spacing w:before="0" w:after="0"/>
              <w:contextualSpacing/>
              <w:jc w:val="center"/>
              <w:rPr>
                <w:rFonts w:eastAsia="Aptos"/>
              </w:rPr>
            </w:pPr>
            <w:r>
              <w:rPr>
                <w:rFonts w:eastAsia="Aptos"/>
                <w:sz w:val="24"/>
              </w:rPr>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rPr/>
      </w:pPr>
      <w:bookmarkStart w:id="93" w:name="__RefHeading___Toc8376_3056492648"/>
      <w:bookmarkStart w:id="94" w:name="_Toc230559726"/>
      <w:bookmarkEnd w:id="93"/>
      <w:r>
        <w:rPr>
          <w:rFonts w:cs="Arial" w:ascii="Arial" w:hAnsi="Arial"/>
        </w:rPr>
        <w:t>11.1</w:t>
      </w:r>
      <w:bookmarkStart w:id="95" w:name="_Toc229957253"/>
      <w:r>
        <w:rPr>
          <w:rFonts w:cs="Arial" w:ascii="Arial" w:hAnsi="Arial"/>
        </w:rPr>
        <w:t xml:space="preserve"> Precisão Numérica</w:t>
      </w:r>
      <w:bookmarkEnd w:id="94"/>
      <w:bookmarkEnd w:id="95"/>
    </w:p>
    <w:p>
      <w:pPr>
        <w:pStyle w:val="Normal"/>
        <w:spacing w:lineRule="auto" w:line="276" w:before="0" w:after="0"/>
        <w:ind w:firstLine="567"/>
        <w:contextualSpacing/>
        <w:jc w:val="both"/>
        <w:rPr/>
      </w:pPr>
      <w:r>
        <w:rPr/>
        <w:t xml:space="preserve">A </w:t>
      </w:r>
      <w:r>
        <w:rPr>
          <w:b/>
          <w:bCs/>
        </w:rPr>
        <w:t xml:space="preserve">FLUX </w:t>
      </w:r>
      <w:r>
        <w:rPr/>
        <w:t>fornece controle granular sobre a largura em bits dos tipos numéricos, permitindo que o desenvolvedor otimize a relação entre precisão matemática e consumo de memória RAM/VRAM. Além dos primitivos clássicos, a linguagem implementa nativamente tipos de ponto flutuante especializados para redes neurais e simulações científicas intensivas.</w:t>
      </w:r>
    </w:p>
    <w:p>
      <w:pPr>
        <w:pStyle w:val="Normal"/>
        <w:spacing w:lineRule="auto" w:line="276" w:before="0" w:after="0"/>
        <w:contextualSpacing/>
        <w:jc w:val="both"/>
        <w:rPr/>
      </w:pPr>
      <w:r>
        <w:rPr/>
      </w:r>
    </w:p>
    <w:tbl>
      <w:tblPr>
        <w:tblStyle w:val="Tabelacomgrade"/>
        <w:tblW w:w="85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68"/>
        <w:gridCol w:w="1248"/>
        <w:gridCol w:w="1247"/>
        <w:gridCol w:w="1245"/>
        <w:gridCol w:w="1249"/>
        <w:gridCol w:w="1247"/>
      </w:tblGrid>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Tipo</w:t>
            </w:r>
          </w:p>
        </w:tc>
        <w:tc>
          <w:tcPr>
            <w:tcW w:w="1248" w:type="dxa"/>
            <w:tcBorders/>
            <w:shd w:color="auto" w:fill="CAEDFB"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8 bits</w:t>
            </w:r>
          </w:p>
        </w:tc>
        <w:tc>
          <w:tcPr>
            <w:tcW w:w="1247" w:type="dxa"/>
            <w:tcBorders/>
            <w:shd w:color="auto" w:fill="CAEDFB"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16 bits</w:t>
            </w:r>
          </w:p>
        </w:tc>
        <w:tc>
          <w:tcPr>
            <w:tcW w:w="1245" w:type="dxa"/>
            <w:tcBorders/>
            <w:shd w:color="auto" w:fill="CAEDFB"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32 bits</w:t>
            </w:r>
          </w:p>
        </w:tc>
        <w:tc>
          <w:tcPr>
            <w:tcW w:w="1249" w:type="dxa"/>
            <w:tcBorders/>
            <w:shd w:color="auto" w:fill="CAEDFB"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64 bits</w:t>
            </w:r>
          </w:p>
        </w:tc>
        <w:tc>
          <w:tcPr>
            <w:tcW w:w="1247" w:type="dxa"/>
            <w:tcBorders/>
            <w:shd w:color="auto" w:fill="CAEDFB"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128 bits</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int</w:t>
            </w:r>
          </w:p>
        </w:tc>
        <w:tc>
          <w:tcPr>
            <w:tcW w:w="1248"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5"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9"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ascii="Arial" w:hAnsi="Arial" w:eastAsia="Aptos" w:cs="Arial"/>
                <w:b/>
                <w:bCs/>
                <w:kern w:val="2"/>
                <w:sz w:val="24"/>
                <w:szCs w:val="24"/>
                <w:lang w:val="pt-BR" w:eastAsia="en-US" w:bidi="ar-SA"/>
              </w:rPr>
            </w:pPr>
            <w:r>
              <w:rPr>
                <w:rFonts w:eastAsia="Aptos" w:cs="Arial"/>
                <w:b/>
                <w:bCs/>
                <w:kern w:val="2"/>
                <w:sz w:val="24"/>
                <w:szCs w:val="24"/>
                <w:lang w:val="pt-BR" w:eastAsia="en-US" w:bidi="ar-SA"/>
              </w:rPr>
              <w:t>uint</w:t>
            </w:r>
          </w:p>
        </w:tc>
        <w:tc>
          <w:tcPr>
            <w:tcW w:w="1248"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5"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9"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top w:val="nil"/>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sz w:val="24"/>
              </w:rPr>
            </w:r>
          </w:p>
        </w:tc>
      </w:tr>
      <w:tr>
        <w:trPr/>
        <w:tc>
          <w:tcPr>
            <w:tcW w:w="2268"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float</w:t>
            </w:r>
          </w:p>
        </w:tc>
        <w:tc>
          <w:tcPr>
            <w:tcW w:w="1248" w:type="dxa"/>
            <w:tcBorders>
              <w:top w:val="nil"/>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5"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9" w:type="dxa"/>
            <w:tcBorders>
              <w:top w:val="nil"/>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top w:val="nil"/>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fp8_e4m3</w:t>
            </w:r>
          </w:p>
        </w:tc>
        <w:tc>
          <w:tcPr>
            <w:tcW w:w="1248"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5"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9"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fp8_e5m2 (BF8)</w:t>
            </w:r>
          </w:p>
        </w:tc>
        <w:tc>
          <w:tcPr>
            <w:tcW w:w="1248"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5"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9"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bf16_e8m7</w:t>
            </w:r>
          </w:p>
        </w:tc>
        <w:tc>
          <w:tcPr>
            <w:tcW w:w="1248"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5"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9"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tf32_e8m10</w:t>
            </w:r>
          </w:p>
        </w:tc>
        <w:tc>
          <w:tcPr>
            <w:tcW w:w="1248"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5"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9"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r>
      <w:tr>
        <w:trPr/>
        <w:tc>
          <w:tcPr>
            <w:tcW w:w="2268"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complex</w:t>
            </w:r>
          </w:p>
        </w:tc>
        <w:tc>
          <w:tcPr>
            <w:tcW w:w="1248" w:type="dxa"/>
            <w:tcBorders/>
            <w:shd w:color="auto"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7" w:type="dxa"/>
            <w:tcBorders/>
            <w:shd w:fill="FF5B5B"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N</w:t>
            </w:r>
          </w:p>
        </w:tc>
        <w:tc>
          <w:tcPr>
            <w:tcW w:w="1245"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9"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c>
          <w:tcPr>
            <w:tcW w:w="1247" w:type="dxa"/>
            <w:tcBorders/>
            <w:shd w:color="auto" w:fill="C1F0C7" w:themeFill="accent3"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kern w:val="2"/>
                <w:sz w:val="24"/>
                <w:szCs w:val="24"/>
                <w:lang w:val="pt-BR" w:eastAsia="en-US" w:bidi="ar-SA"/>
              </w:rPr>
              <w:t>S</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rPr/>
      </w:pPr>
      <w:bookmarkStart w:id="96" w:name="__RefHeading___Toc8376_3056492648_Copia_"/>
      <w:bookmarkStart w:id="97" w:name="_Toc230559726_Copia_1"/>
      <w:bookmarkEnd w:id="96"/>
      <w:r>
        <w:rPr>
          <w:rFonts w:cs="Arial" w:ascii="Arial" w:hAnsi="Arial"/>
        </w:rPr>
        <w:t>11.</w:t>
      </w:r>
      <w:bookmarkEnd w:id="97"/>
      <w:r>
        <w:rPr>
          <w:rFonts w:cs="Arial" w:ascii="Arial" w:hAnsi="Arial"/>
        </w:rPr>
        <w:t>2 Struct e Enum (Tipos Compostos)</w:t>
      </w:r>
    </w:p>
    <w:p>
      <w:pPr>
        <w:pStyle w:val="Normal"/>
        <w:widowControl/>
        <w:suppressAutoHyphens w:val="true"/>
        <w:bidi w:val="0"/>
        <w:spacing w:lineRule="auto" w:line="276" w:before="0" w:after="0"/>
        <w:ind w:firstLine="567" w:left="0" w:right="0"/>
        <w:contextualSpacing/>
        <w:jc w:val="both"/>
        <w:rPr/>
      </w:pPr>
      <w:r>
        <w:rPr/>
        <w:t>Os tipos compostos são definidos do seguinte modo:</w:t>
      </w:r>
    </w:p>
    <w:p>
      <w:pPr>
        <w:pStyle w:val="Normal"/>
        <w:widowControl/>
        <w:numPr>
          <w:ilvl w:val="0"/>
          <w:numId w:val="21"/>
        </w:numPr>
        <w:suppressAutoHyphens w:val="true"/>
        <w:bidi w:val="0"/>
        <w:spacing w:lineRule="auto" w:line="276" w:before="0" w:after="0"/>
        <w:contextualSpacing/>
        <w:jc w:val="both"/>
        <w:rPr/>
      </w:pPr>
      <w:r>
        <w:rPr>
          <w:b/>
          <w:bCs/>
          <w:i/>
          <w:iCs/>
        </w:rPr>
        <w:t>Struct:</w:t>
      </w:r>
      <w:r>
        <w:rPr/>
        <w:t xml:space="preserve"> Estrutura de dados de tipagem nominal. Cada campo interno da </w:t>
      </w:r>
      <w:r>
        <w:rPr>
          <w:i/>
          <w:iCs/>
        </w:rPr>
        <w:t>struct</w:t>
      </w:r>
      <w:r>
        <w:rPr/>
        <w:t xml:space="preserve"> deve declarar explicitamente a sua própria regra de mutabilidade (</w:t>
      </w:r>
      <w:r>
        <w:rPr>
          <w:i/>
          <w:iCs/>
        </w:rPr>
        <w:t>mut ou imut</w:t>
      </w:r>
      <w:r>
        <w:rPr/>
        <w:t>), garantindo controle granular e segurança de memória.</w:t>
      </w:r>
    </w:p>
    <w:p>
      <w:pPr>
        <w:pStyle w:val="Normal"/>
        <w:widowControl/>
        <w:numPr>
          <w:ilvl w:val="0"/>
          <w:numId w:val="21"/>
        </w:numPr>
        <w:suppressAutoHyphens w:val="true"/>
        <w:bidi w:val="0"/>
        <w:spacing w:lineRule="auto" w:line="276" w:before="0" w:after="0"/>
        <w:contextualSpacing/>
        <w:jc w:val="both"/>
        <w:rPr/>
      </w:pPr>
      <w:r>
        <w:rPr>
          <w:b/>
          <w:bCs/>
          <w:i/>
          <w:iCs/>
        </w:rPr>
        <w:t>Enum:</w:t>
      </w:r>
      <w:r>
        <w:rPr/>
        <w:t xml:space="preserve"> Implementado como um </w:t>
      </w:r>
      <w:r>
        <w:rPr>
          <w:i/>
          <w:iCs/>
        </w:rPr>
        <w:t>enum</w:t>
      </w:r>
      <w:r>
        <w:rPr/>
        <w:t xml:space="preserve"> discriminado algébrico. Isso significa que cada variante do enumerador pode encapsular e transportar diferentes tipos e quantidades de dados de forma segura.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2" name="Forma2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rPr/>
      </w:pPr>
      <w:bookmarkStart w:id="98" w:name="__RefHeading___Toc8378_3056492648"/>
      <w:bookmarkStart w:id="99" w:name="_Toc230559727"/>
      <w:bookmarkStart w:id="100" w:name="_Toc229957256"/>
      <w:bookmarkEnd w:id="98"/>
      <w:r>
        <w:rPr>
          <w:rFonts w:cs="Arial" w:ascii="Arial" w:hAnsi="Arial"/>
        </w:rPr>
        <w:t>12 Operadores</w:t>
      </w:r>
      <w:bookmarkEnd w:id="100"/>
      <w:r>
        <w:rPr>
          <w:rFonts w:cs="Arial" w:ascii="Arial" w:hAnsi="Arial"/>
        </w:rPr>
        <w:t xml:space="preserve"> Matemáticos</w:t>
      </w:r>
      <w:bookmarkEnd w:id="99"/>
    </w:p>
    <w:p>
      <w:pPr>
        <w:pStyle w:val="Normal"/>
        <w:spacing w:lineRule="auto" w:line="276" w:before="0" w:after="0"/>
        <w:ind w:firstLine="567"/>
        <w:contextualSpacing/>
        <w:jc w:val="both"/>
        <w:rPr/>
      </w:pPr>
      <w:r>
        <w:rPr/>
        <w:t xml:space="preserve">Na </w:t>
      </w:r>
      <w:r>
        <w:rPr>
          <w:b/>
          <w:bCs/>
        </w:rPr>
        <w:t xml:space="preserve">FLUX </w:t>
      </w:r>
      <w:r>
        <w:rPr/>
        <w:t>temos os seguintes operadores definidos:</w:t>
      </w:r>
    </w:p>
    <w:p>
      <w:pPr>
        <w:pStyle w:val="Normal"/>
        <w:spacing w:lineRule="auto" w:line="276" w:before="0" w:after="0"/>
        <w:contextualSpacing/>
        <w:jc w:val="both"/>
        <w:rPr/>
      </w:pPr>
      <w:r>
        <w:rPr/>
      </w:r>
    </w:p>
    <w:p>
      <w:pPr>
        <w:pStyle w:val="Heading2"/>
        <w:spacing w:lineRule="auto" w:line="276" w:before="0" w:after="0"/>
        <w:contextualSpacing/>
        <w:jc w:val="left"/>
        <w:rPr>
          <w:rFonts w:ascii="Arial" w:hAnsi="Arial" w:cs="Arial"/>
        </w:rPr>
      </w:pPr>
      <w:bookmarkStart w:id="101" w:name="__RefHeading___Toc8380_3056492648"/>
      <w:bookmarkStart w:id="102" w:name="_Toc230559728"/>
      <w:bookmarkStart w:id="103" w:name="_Toc229957257"/>
      <w:bookmarkEnd w:id="101"/>
      <w:r>
        <w:rPr>
          <w:rFonts w:cs="Arial" w:ascii="Arial" w:hAnsi="Arial"/>
        </w:rPr>
        <w:t>12.1 Operadores Matemáticos</w:t>
      </w:r>
      <w:bookmarkEnd w:id="102"/>
      <w:bookmarkEnd w:id="103"/>
    </w:p>
    <w:p>
      <w:pPr>
        <w:pStyle w:val="Normal"/>
        <w:rPr/>
      </w:pPr>
      <w:r>
        <w:rPr/>
      </w:r>
    </w:p>
    <w:tbl>
      <w:tblPr>
        <w:tblStyle w:val="Tabelacomgrade"/>
        <w:tblW w:w="332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360"/>
        <w:gridCol w:w="1966"/>
      </w:tblGrid>
      <w:tr>
        <w:trPr/>
        <w:tc>
          <w:tcPr>
            <w:tcW w:w="1360" w:type="dxa"/>
            <w:tcBorders>
              <w:right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1966"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soma</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subtração</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multiplicação</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divisão decimal</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/i</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divisão inteira</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/r</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resto</w:t>
            </w:r>
          </w:p>
        </w:tc>
      </w:tr>
      <w:tr>
        <w:trPr/>
        <w:tc>
          <w:tcPr>
            <w:tcW w:w="1360"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^e</w:t>
            </w:r>
          </w:p>
        </w:tc>
        <w:tc>
          <w:tcPr>
            <w:tcW w:w="19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Potência</w:t>
            </w:r>
          </w:p>
        </w:tc>
      </w:tr>
      <w:tr>
        <w:trPr/>
        <w:tc>
          <w:tcPr>
            <w:tcW w:w="1360"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^r</w:t>
            </w:r>
          </w:p>
        </w:tc>
        <w:tc>
          <w:tcPr>
            <w:tcW w:w="1966"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Raiz</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before="0" w:after="0"/>
        <w:contextualSpacing/>
        <w:rPr/>
      </w:pPr>
      <w:bookmarkStart w:id="104" w:name="__RefHeading___Toc8382_3056492648"/>
      <w:bookmarkStart w:id="105" w:name="_Toc230559729"/>
      <w:bookmarkStart w:id="106" w:name="_Toc229957258"/>
      <w:bookmarkEnd w:id="104"/>
      <w:r>
        <w:rPr/>
        <w:t>12.1.1 Operadores Matemáticos de Atribuição Composta</w:t>
      </w:r>
      <w:bookmarkEnd w:id="105"/>
      <w:bookmarkEnd w:id="106"/>
    </w:p>
    <w:p>
      <w:pPr>
        <w:pStyle w:val="Normal"/>
        <w:rPr/>
      </w:pPr>
      <w:r>
        <w:rPr/>
      </w:r>
    </w:p>
    <w:tbl>
      <w:tblPr>
        <w:tblStyle w:val="Tabelacomgrade"/>
        <w:tblW w:w="471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85"/>
        <w:gridCol w:w="3225"/>
      </w:tblGrid>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3225"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atribuição</w:t>
            </w:r>
          </w:p>
        </w:tc>
      </w:tr>
      <w:tr>
        <w:trPr/>
        <w:tc>
          <w:tcPr>
            <w:tcW w:w="1485"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322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adição e atribuição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subtração e atribuição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multiplicação e atribuição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divisão decimal e atribuição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=/i</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divisão inteira e atribuição</w:t>
            </w:r>
          </w:p>
        </w:tc>
      </w:tr>
      <w:tr>
        <w:trPr/>
        <w:tc>
          <w:tcPr>
            <w:tcW w:w="1485"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=/r</w:t>
            </w:r>
          </w:p>
        </w:tc>
        <w:tc>
          <w:tcPr>
            <w:tcW w:w="322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resto da divisão e atribuição</w:t>
            </w:r>
          </w:p>
        </w:tc>
      </w:tr>
      <w:tr>
        <w:trPr/>
        <w:tc>
          <w:tcPr>
            <w:tcW w:w="1485"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=^e</w:t>
            </w:r>
          </w:p>
        </w:tc>
        <w:tc>
          <w:tcPr>
            <w:tcW w:w="322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exponenciação e atribuição</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=^r</w:t>
            </w:r>
          </w:p>
        </w:tc>
        <w:tc>
          <w:tcPr>
            <w:tcW w:w="322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radiciação e atribuição</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3" name="Forma 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rPr/>
      </w:pPr>
      <w:bookmarkStart w:id="107" w:name="__RefHeading___Toc8384_3056492648"/>
      <w:bookmarkStart w:id="108" w:name="_Toc230559727_Copia_1"/>
      <w:bookmarkStart w:id="109" w:name="_Toc229957256_Copia_1"/>
      <w:bookmarkEnd w:id="107"/>
      <w:r>
        <w:rPr>
          <w:rFonts w:cs="Arial" w:ascii="Arial" w:hAnsi="Arial"/>
        </w:rPr>
        <w:t>13 Operadores</w:t>
      </w:r>
      <w:bookmarkEnd w:id="109"/>
      <w:r>
        <w:rPr>
          <w:rFonts w:cs="Arial" w:ascii="Arial" w:hAnsi="Arial"/>
        </w:rPr>
        <w:t xml:space="preserve"> </w:t>
      </w:r>
      <w:bookmarkEnd w:id="108"/>
      <w:r>
        <w:rPr>
          <w:rFonts w:cs="Arial" w:ascii="Arial" w:hAnsi="Arial"/>
        </w:rPr>
        <w:t>Bitwise</w:t>
      </w:r>
    </w:p>
    <w:p>
      <w:pPr>
        <w:pStyle w:val="Normal"/>
        <w:spacing w:lineRule="auto" w:line="276" w:before="0" w:after="0"/>
        <w:ind w:firstLine="567"/>
        <w:contextualSpacing/>
        <w:jc w:val="both"/>
        <w:rPr/>
      </w:pPr>
      <w:r>
        <w:rPr/>
        <w:t xml:space="preserve">Na </w:t>
      </w:r>
      <w:r>
        <w:rPr>
          <w:b/>
          <w:bCs/>
        </w:rPr>
        <w:t xml:space="preserve">FLUX </w:t>
      </w:r>
      <w:r>
        <w:rPr/>
        <w:t>temos os seguintes operadores definidos:</w:t>
      </w:r>
    </w:p>
    <w:p>
      <w:pPr>
        <w:pStyle w:val="Normal"/>
        <w:spacing w:lineRule="auto" w:line="276" w:before="0" w:after="0"/>
        <w:contextualSpacing/>
        <w:jc w:val="both"/>
        <w:rPr/>
      </w:pPr>
      <w:r>
        <w:rPr/>
      </w:r>
    </w:p>
    <w:p>
      <w:pPr>
        <w:pStyle w:val="Heading2"/>
        <w:spacing w:lineRule="auto" w:line="276" w:before="0" w:after="0"/>
        <w:contextualSpacing/>
        <w:jc w:val="both"/>
        <w:rPr/>
      </w:pPr>
      <w:bookmarkStart w:id="110" w:name="__RefHeading___Toc8386_3056492648"/>
      <w:bookmarkStart w:id="111" w:name="_Toc230559730"/>
      <w:bookmarkEnd w:id="110"/>
      <w:r>
        <w:rPr>
          <w:rFonts w:cs="Arial" w:ascii="Arial" w:hAnsi="Arial"/>
        </w:rPr>
        <w:t>13.1 Operadores bitwise</w:t>
      </w:r>
      <w:bookmarkEnd w:id="111"/>
    </w:p>
    <w:p>
      <w:pPr>
        <w:pStyle w:val="Normal"/>
        <w:spacing w:lineRule="auto" w:line="276" w:before="0" w:after="0"/>
        <w:contextualSpacing/>
        <w:jc w:val="both"/>
        <w:rPr/>
      </w:pPr>
      <w:r>
        <w:rPr/>
      </w:r>
    </w:p>
    <w:tbl>
      <w:tblPr>
        <w:tblStyle w:val="Tabelacomgrade"/>
        <w:tblW w:w="598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85"/>
        <w:gridCol w:w="4499"/>
      </w:tblGrid>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4499"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485"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&amp;</w:t>
            </w:r>
          </w:p>
        </w:tc>
        <w:tc>
          <w:tcPr>
            <w:tcW w:w="4499"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 (AND) lógico bit a bit</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OU (OR) lógico bit a bit</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OU Exclusivo (XOR) bit a bit</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NÃO (NOT) bit a bit</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&lt;&lt;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Left Shift, multiplica por 2</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&gt;&gt;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Right Shift,divide por 2</w:t>
            </w:r>
          </w:p>
        </w:tc>
      </w:tr>
      <w:tr>
        <w:trPr/>
        <w:tc>
          <w:tcPr>
            <w:tcW w:w="1485"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&gt;&gt;&gt;</w:t>
            </w:r>
          </w:p>
        </w:tc>
        <w:tc>
          <w:tcPr>
            <w:tcW w:w="4499"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Right Shift com preenchimento de zero</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before="0" w:after="0"/>
        <w:contextualSpacing/>
        <w:rPr>
          <w:sz w:val="32"/>
          <w:szCs w:val="32"/>
        </w:rPr>
      </w:pPr>
      <w:bookmarkStart w:id="112" w:name="__RefHeading___Toc8388_3056492648"/>
      <w:bookmarkStart w:id="113" w:name="_Toc230559731"/>
      <w:bookmarkEnd w:id="112"/>
      <w:r>
        <w:rPr>
          <w:sz w:val="32"/>
          <w:szCs w:val="32"/>
        </w:rPr>
        <w:t>13.2. Operadores bitwise de Atribuição Composta</w:t>
      </w:r>
      <w:bookmarkEnd w:id="113"/>
    </w:p>
    <w:p>
      <w:pPr>
        <w:pStyle w:val="Normal"/>
        <w:spacing w:lineRule="auto" w:line="276" w:before="0" w:after="0"/>
        <w:contextualSpacing/>
        <w:jc w:val="both"/>
        <w:rPr/>
      </w:pPr>
      <w:r>
        <w:rPr/>
      </w:r>
    </w:p>
    <w:tbl>
      <w:tblPr>
        <w:tblStyle w:val="Tabelacomgrade"/>
        <w:tblW w:w="72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82"/>
        <w:gridCol w:w="5766"/>
      </w:tblGrid>
      <w:tr>
        <w:trPr/>
        <w:tc>
          <w:tcPr>
            <w:tcW w:w="1482"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5766"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482"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=&amp;</w:t>
            </w:r>
          </w:p>
        </w:tc>
        <w:tc>
          <w:tcPr>
            <w:tcW w:w="5766"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 (AND) lógico bit a bit e atribuição</w:t>
            </w:r>
          </w:p>
        </w:tc>
      </w:tr>
      <w:tr>
        <w:trPr/>
        <w:tc>
          <w:tcPr>
            <w:tcW w:w="1482"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57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OU (OR) lógico bit a bit e atribuição</w:t>
            </w:r>
          </w:p>
        </w:tc>
      </w:tr>
      <w:tr>
        <w:trPr/>
        <w:tc>
          <w:tcPr>
            <w:tcW w:w="1482"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57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OU Exclusivo (XOR) bit a bit e atribuição</w:t>
            </w:r>
          </w:p>
        </w:tc>
      </w:tr>
      <w:tr>
        <w:trPr/>
        <w:tc>
          <w:tcPr>
            <w:tcW w:w="1482" w:type="dxa"/>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w:t>
            </w:r>
          </w:p>
        </w:tc>
        <w:tc>
          <w:tcPr>
            <w:tcW w:w="5766"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NÃO (NOT) bit a bit e atribuição</w:t>
            </w:r>
          </w:p>
        </w:tc>
      </w:tr>
      <w:tr>
        <w:trPr/>
        <w:tc>
          <w:tcPr>
            <w:tcW w:w="1482"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=&lt;&lt;</w:t>
            </w:r>
          </w:p>
        </w:tc>
        <w:tc>
          <w:tcPr>
            <w:tcW w:w="5766"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Left Shift, multiplica por 2 e atribuição</w:t>
            </w:r>
          </w:p>
        </w:tc>
      </w:tr>
      <w:tr>
        <w:trPr/>
        <w:tc>
          <w:tcPr>
            <w:tcW w:w="1482"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=&gt;&gt;</w:t>
            </w:r>
          </w:p>
        </w:tc>
        <w:tc>
          <w:tcPr>
            <w:tcW w:w="5766"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Right Shift,divide por 2e atribuição</w:t>
            </w:r>
          </w:p>
        </w:tc>
      </w:tr>
      <w:tr>
        <w:trPr/>
        <w:tc>
          <w:tcPr>
            <w:tcW w:w="1482"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=&gt;&gt;&gt;</w:t>
            </w:r>
          </w:p>
        </w:tc>
        <w:tc>
          <w:tcPr>
            <w:tcW w:w="5766"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Right Shift com preenchimento de zero e atribuição</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4" name="Forma24"/>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rPr/>
      </w:pPr>
      <w:bookmarkStart w:id="114" w:name="__RefHeading___Toc8390_3056492648"/>
      <w:bookmarkStart w:id="115" w:name="_Toc230559732"/>
      <w:bookmarkStart w:id="116" w:name="_Toc229957256_Copia_1_Copia_1"/>
      <w:bookmarkEnd w:id="114"/>
      <w:r>
        <w:rPr>
          <w:rFonts w:cs="Arial" w:ascii="Arial" w:hAnsi="Arial"/>
        </w:rPr>
        <w:t>14 Operadores</w:t>
      </w:r>
      <w:bookmarkEnd w:id="116"/>
      <w:r>
        <w:rPr>
          <w:rFonts w:cs="Arial" w:ascii="Arial" w:hAnsi="Arial"/>
        </w:rPr>
        <w:t xml:space="preserve"> de Fluxo</w:t>
      </w:r>
      <w:bookmarkEnd w:id="115"/>
    </w:p>
    <w:p>
      <w:pPr>
        <w:pStyle w:val="Normal"/>
        <w:spacing w:lineRule="auto" w:line="276" w:before="0" w:after="0"/>
        <w:ind w:firstLine="567"/>
        <w:contextualSpacing/>
        <w:jc w:val="both"/>
        <w:rPr/>
      </w:pPr>
      <w:r>
        <w:rPr/>
        <w:t xml:space="preserve">Na </w:t>
      </w:r>
      <w:r>
        <w:rPr>
          <w:b/>
          <w:bCs/>
        </w:rPr>
        <w:t xml:space="preserve">FLUX </w:t>
      </w:r>
      <w:r>
        <w:rPr/>
        <w:t>temos os seguintes operadores definidos:</w:t>
      </w:r>
    </w:p>
    <w:tbl>
      <w:tblPr>
        <w:tblStyle w:val="Tabelacomgrade"/>
        <w:tblW w:w="8549"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302"/>
        <w:gridCol w:w="7247"/>
      </w:tblGrid>
      <w:tr>
        <w:trPr/>
        <w:tc>
          <w:tcPr>
            <w:tcW w:w="1302"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7247"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302"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==&gt;</w:t>
            </w:r>
          </w:p>
        </w:tc>
        <w:tc>
          <w:tcPr>
            <w:tcW w:w="7247" w:type="dxa"/>
            <w:tcBorders/>
          </w:tcPr>
          <w:p>
            <w:pPr>
              <w:pStyle w:val="Normal"/>
              <w:widowControl/>
              <w:suppressAutoHyphens w:val="true"/>
              <w:spacing w:before="0" w:after="0"/>
              <w:contextualSpacing/>
              <w:jc w:val="both"/>
              <w:rPr>
                <w:rFonts w:eastAsia="Aptos"/>
              </w:rPr>
            </w:pPr>
            <w:r>
              <w:rPr>
                <w:rFonts w:eastAsia="Aptos" w:cs="Arial"/>
                <w:b/>
                <w:bCs/>
                <w:kern w:val="2"/>
                <w:sz w:val="24"/>
                <w:szCs w:val="24"/>
                <w:lang w:val="pt-BR" w:eastAsia="en-US" w:bidi="ar-SA"/>
              </w:rPr>
              <w:t>Transformação anônima (Lambda)</w:t>
            </w:r>
            <w:r>
              <w:rPr>
                <w:rFonts w:eastAsia="Aptos" w:cs="Arial"/>
                <w:kern w:val="2"/>
                <w:sz w:val="24"/>
                <w:szCs w:val="24"/>
                <w:lang w:val="pt-BR" w:eastAsia="en-US" w:bidi="ar-SA"/>
              </w:rPr>
              <w:t>, define uma lógica de processamento imediata e local sem necessidade de declaração formal.</w:t>
            </w:r>
          </w:p>
        </w:tc>
      </w:tr>
      <w:tr>
        <w:trPr/>
        <w:tc>
          <w:tcPr>
            <w:tcW w:w="1302"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--&gt;</w:t>
            </w:r>
          </w:p>
        </w:tc>
        <w:tc>
          <w:tcPr>
            <w:tcW w:w="7247" w:type="dxa"/>
            <w:tcBorders>
              <w:top w:val="nil"/>
            </w:tcBorders>
          </w:tcPr>
          <w:p>
            <w:pPr>
              <w:pStyle w:val="Normal"/>
              <w:widowControl/>
              <w:suppressAutoHyphens w:val="true"/>
              <w:spacing w:before="0" w:after="0"/>
              <w:contextualSpacing/>
              <w:jc w:val="both"/>
              <w:rPr>
                <w:rFonts w:eastAsia="Aptos"/>
              </w:rPr>
            </w:pPr>
            <w:r>
              <w:rPr>
                <w:rFonts w:eastAsia="Aptos" w:cs="Arial"/>
                <w:b/>
                <w:bCs/>
                <w:kern w:val="2"/>
                <w:sz w:val="24"/>
                <w:szCs w:val="24"/>
                <w:lang w:val="pt-BR" w:eastAsia="en-US" w:bidi="ar-SA"/>
              </w:rPr>
              <w:t>Direcionar o fluxo</w:t>
            </w:r>
            <w:r>
              <w:rPr>
                <w:rFonts w:eastAsia="Aptos" w:cs="Arial"/>
                <w:kern w:val="2"/>
                <w:sz w:val="24"/>
                <w:szCs w:val="24"/>
                <w:lang w:val="pt-BR" w:eastAsia="en-US" w:bidi="ar-SA"/>
              </w:rPr>
              <w:t xml:space="preserve">, conecta nós de dados a </w:t>
            </w:r>
            <w:r>
              <w:rPr>
                <w:rFonts w:eastAsia="Aptos" w:cs="Arial"/>
                <w:i/>
                <w:iCs/>
                <w:kern w:val="2"/>
                <w:sz w:val="24"/>
                <w:szCs w:val="24"/>
                <w:lang w:val="pt-BR" w:eastAsia="en-US" w:bidi="ar-SA"/>
              </w:rPr>
              <w:t>agent</w:t>
            </w:r>
            <w:r>
              <w:rPr>
                <w:rFonts w:eastAsia="Aptos" w:cs="Arial"/>
                <w:kern w:val="2"/>
                <w:sz w:val="24"/>
                <w:szCs w:val="24"/>
                <w:lang w:val="pt-BR" w:eastAsia="en-US" w:bidi="ar-SA"/>
              </w:rPr>
              <w:t>s, funções ou transformações no grafo de execução.</w:t>
            </w:r>
          </w:p>
        </w:tc>
      </w:tr>
      <w:tr>
        <w:trPr/>
        <w:tc>
          <w:tcPr>
            <w:tcW w:w="1302"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split</w:t>
            </w:r>
          </w:p>
        </w:tc>
        <w:tc>
          <w:tcPr>
            <w:tcW w:w="7247" w:type="dxa"/>
            <w:tcBorders/>
          </w:tcPr>
          <w:p>
            <w:pPr>
              <w:pStyle w:val="Normal"/>
              <w:widowControl/>
              <w:suppressAutoHyphens w:val="true"/>
              <w:spacing w:before="0" w:after="0"/>
              <w:contextualSpacing/>
              <w:jc w:val="both"/>
              <w:rPr>
                <w:rFonts w:eastAsia="Aptos"/>
              </w:rPr>
            </w:pPr>
            <w:r>
              <w:rPr>
                <w:rFonts w:eastAsia="Aptos" w:cs="Arial"/>
                <w:b/>
                <w:bCs/>
                <w:kern w:val="2"/>
                <w:sz w:val="24"/>
                <w:szCs w:val="24"/>
                <w:lang w:val="pt-BR" w:eastAsia="en-US" w:bidi="ar-SA"/>
              </w:rPr>
              <w:t>Bifurcação</w:t>
            </w:r>
            <w:r>
              <w:rPr>
                <w:rFonts w:eastAsia="Aptos" w:cs="Arial"/>
                <w:kern w:val="2"/>
                <w:sz w:val="24"/>
                <w:szCs w:val="24"/>
                <w:lang w:val="pt-BR" w:eastAsia="en-US" w:bidi="ar-SA"/>
              </w:rPr>
              <w:t>, divide o conjunto de dados em múltiplos caminhos de processamento paralelos ou condicionais</w:t>
            </w:r>
          </w:p>
        </w:tc>
      </w:tr>
      <w:tr>
        <w:trPr/>
        <w:tc>
          <w:tcPr>
            <w:tcW w:w="1302"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join</w:t>
            </w:r>
          </w:p>
        </w:tc>
        <w:tc>
          <w:tcPr>
            <w:tcW w:w="7247" w:type="dxa"/>
            <w:tcBorders/>
          </w:tcPr>
          <w:p>
            <w:pPr>
              <w:pStyle w:val="Normal"/>
              <w:widowControl/>
              <w:suppressAutoHyphens w:val="true"/>
              <w:spacing w:before="0" w:after="0"/>
              <w:contextualSpacing/>
              <w:jc w:val="both"/>
              <w:rPr>
                <w:rFonts w:eastAsia="Aptos"/>
              </w:rPr>
            </w:pPr>
            <w:r>
              <w:rPr>
                <w:rFonts w:eastAsia="Aptos" w:cs="Arial"/>
                <w:b/>
                <w:bCs/>
                <w:kern w:val="2"/>
                <w:sz w:val="24"/>
                <w:szCs w:val="24"/>
                <w:lang w:val="pt-BR" w:eastAsia="en-US" w:bidi="ar-SA"/>
              </w:rPr>
              <w:t>Sincronização</w:t>
            </w:r>
            <w:r>
              <w:rPr>
                <w:rFonts w:eastAsia="Aptos" w:cs="Arial"/>
                <w:kern w:val="2"/>
                <w:sz w:val="24"/>
                <w:szCs w:val="24"/>
                <w:lang w:val="pt-BR" w:eastAsia="en-US" w:bidi="ar-SA"/>
              </w:rPr>
              <w:t>, consolida múltiplos fluxos de dados em um único ponto ou nó de convergência</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117" w:name="__RefHeading___Toc8386_3056492648_Copia_"/>
      <w:bookmarkStart w:id="118" w:name="_Toc230559730_Copia_1"/>
      <w:bookmarkEnd w:id="117"/>
      <w:r>
        <w:rPr>
          <w:rFonts w:cs="Arial" w:ascii="Arial" w:hAnsi="Arial"/>
        </w:rPr>
        <w:t xml:space="preserve">14.1 </w:t>
      </w:r>
      <w:bookmarkEnd w:id="118"/>
      <w:r>
        <w:rPr>
          <w:rFonts w:cs="Arial" w:ascii="Arial" w:hAnsi="Arial"/>
        </w:rPr>
        <w:t>Mecânica do Match</w:t>
      </w:r>
    </w:p>
    <w:p>
      <w:pPr>
        <w:pStyle w:val="BodyText"/>
        <w:widowControl/>
        <w:suppressAutoHyphens w:val="true"/>
        <w:bidi w:val="0"/>
        <w:spacing w:lineRule="auto" w:line="276" w:before="0" w:after="0"/>
        <w:ind w:firstLine="567" w:left="0" w:right="0"/>
        <w:contextualSpacing/>
        <w:jc w:val="both"/>
        <w:rPr/>
      </w:pPr>
      <w:r>
        <w:rPr/>
        <w:t xml:space="preserve">O bloco </w:t>
      </w:r>
      <w:r>
        <w:rPr>
          <w:rStyle w:val="Cdigo-fonteuser"/>
        </w:rPr>
        <w:t>match</w:t>
      </w:r>
      <w:r>
        <w:rPr/>
        <w:t xml:space="preserve"> oferece um sistema avançado de casamento de padrões, suportando a validação e desestruturação de:</w:t>
      </w:r>
    </w:p>
    <w:p>
      <w:pPr>
        <w:pStyle w:val="BodyText"/>
        <w:widowControl/>
        <w:numPr>
          <w:ilvl w:val="0"/>
          <w:numId w:val="22"/>
        </w:numPr>
        <w:suppressAutoHyphens w:val="true"/>
        <w:bidi w:val="0"/>
        <w:spacing w:lineRule="auto" w:line="276" w:before="0" w:after="0"/>
        <w:ind w:hanging="340" w:left="1304" w:right="0"/>
        <w:contextualSpacing/>
        <w:jc w:val="both"/>
        <w:rPr/>
      </w:pPr>
      <w:r>
        <w:rPr/>
        <w:t>Literais diretos.</w:t>
      </w:r>
    </w:p>
    <w:p>
      <w:pPr>
        <w:pStyle w:val="BodyText"/>
        <w:widowControl/>
        <w:numPr>
          <w:ilvl w:val="0"/>
          <w:numId w:val="22"/>
        </w:numPr>
        <w:suppressAutoHyphens w:val="true"/>
        <w:bidi w:val="0"/>
        <w:spacing w:lineRule="auto" w:line="276" w:before="0" w:after="0"/>
        <w:ind w:hanging="340" w:left="1304" w:right="0"/>
        <w:contextualSpacing/>
        <w:jc w:val="both"/>
        <w:rPr/>
      </w:pPr>
      <w:r>
        <w:rPr>
          <w:i/>
        </w:rPr>
        <w:t>Wildcards</w:t>
      </w:r>
      <w:r>
        <w:rPr/>
        <w:t xml:space="preserve"> (uso de </w:t>
      </w:r>
      <w:r>
        <w:rPr>
          <w:rStyle w:val="Cdigo-fonteuser"/>
        </w:rPr>
        <w:t>_</w:t>
      </w:r>
      <w:r>
        <w:rPr/>
        <w:t xml:space="preserve"> como curinga para ignorar ou capturar valores restantes).</w:t>
      </w:r>
    </w:p>
    <w:p>
      <w:pPr>
        <w:pStyle w:val="BodyText"/>
        <w:widowControl/>
        <w:numPr>
          <w:ilvl w:val="0"/>
          <w:numId w:val="22"/>
        </w:numPr>
        <w:suppressAutoHyphens w:val="true"/>
        <w:bidi w:val="0"/>
        <w:spacing w:lineRule="auto" w:line="276" w:before="0" w:after="0"/>
        <w:ind w:hanging="340" w:left="1304" w:right="0"/>
        <w:contextualSpacing/>
        <w:jc w:val="both"/>
        <w:rPr/>
      </w:pPr>
      <w:r>
        <w:rPr/>
        <w:t xml:space="preserve">Listas e </w:t>
      </w:r>
      <w:r>
        <w:rPr>
          <w:i/>
        </w:rPr>
        <w:t>Records</w:t>
      </w:r>
      <w:r>
        <w:rPr/>
        <w:t>.</w:t>
      </w:r>
    </w:p>
    <w:p>
      <w:pPr>
        <w:pStyle w:val="BodyText"/>
        <w:widowControl/>
        <w:numPr>
          <w:ilvl w:val="0"/>
          <w:numId w:val="22"/>
        </w:numPr>
        <w:suppressAutoHyphens w:val="true"/>
        <w:bidi w:val="0"/>
        <w:spacing w:lineRule="auto" w:line="276" w:before="0" w:after="0"/>
        <w:ind w:hanging="340" w:left="1304" w:right="0"/>
        <w:contextualSpacing/>
        <w:jc w:val="both"/>
        <w:rPr/>
      </w:pPr>
      <w:r>
        <w:rPr>
          <w:i/>
        </w:rPr>
        <w:t>Structs</w:t>
      </w:r>
      <w:r>
        <w:rPr/>
        <w:t xml:space="preserve"> e </w:t>
      </w:r>
      <w:r>
        <w:rPr>
          <w:i/>
        </w:rPr>
        <w:t>Enums</w:t>
      </w:r>
      <w:r>
        <w:rPr/>
        <w:t xml:space="preserve"> discriminados.</w:t>
      </w:r>
    </w:p>
    <w:p>
      <w:pPr>
        <w:pStyle w:val="BodyText"/>
        <w:widowControl/>
        <w:suppressAutoHyphens w:val="true"/>
        <w:bidi w:val="0"/>
        <w:spacing w:lineRule="auto" w:line="276" w:before="0" w:after="0"/>
        <w:ind w:firstLine="567" w:left="0" w:right="0"/>
        <w:contextualSpacing/>
        <w:jc w:val="both"/>
        <w:rPr/>
      </w:pPr>
      <w:r>
        <w:rPr/>
        <w:t xml:space="preserve">Para garantir máxima performance, o </w:t>
      </w:r>
      <w:r>
        <w:rPr>
          <w:i/>
        </w:rPr>
        <w:t>compiler</w:t>
      </w:r>
      <w:r>
        <w:rPr/>
        <w:t xml:space="preserve"> e a Máquina Virtual (VM) não tratam o </w:t>
      </w:r>
      <w:r>
        <w:rPr>
          <w:rStyle w:val="Cdigo-fonteuser"/>
          <w:i/>
          <w:iCs/>
        </w:rPr>
        <w:t>match</w:t>
      </w:r>
      <w:r>
        <w:rPr/>
        <w:t xml:space="preserve"> como uma cadeia de </w:t>
      </w:r>
      <w:r>
        <w:rPr>
          <w:rStyle w:val="Cdigo-fonteuser"/>
          <w:i/>
          <w:iCs/>
        </w:rPr>
        <w:t>if/else</w:t>
      </w:r>
      <w:r>
        <w:rPr/>
        <w:t xml:space="preserve"> comum. O fluxo é rebaixado (</w:t>
      </w:r>
      <w:r>
        <w:rPr>
          <w:i/>
        </w:rPr>
        <w:t>lowering</w:t>
      </w:r>
      <w:r>
        <w:rPr/>
        <w:t xml:space="preserve">) de forma nativa para </w:t>
      </w:r>
      <w:r>
        <w:rPr>
          <w:i/>
        </w:rPr>
        <w:t>opcodes</w:t>
      </w:r>
      <w:r>
        <w:rPr/>
        <w:t xml:space="preserve"> e protocolos de roteamento próprios no tempo de execução. Em cada ramo do bloco, utiliza-se o operador (</w:t>
      </w:r>
      <w:r>
        <w:rPr>
          <w:rStyle w:val="Cdigo-fonteuser"/>
          <w:i/>
          <w:iCs/>
        </w:rPr>
        <w:t>==&gt;</w:t>
      </w:r>
      <w:r>
        <w:rPr/>
        <w:t>) para vincular o padrão identificado à sua instrução ou bloco de código.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5" name="Forma25"/>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rPr/>
      </w:pPr>
      <w:bookmarkStart w:id="119" w:name="__RefHeading___Toc8392_3056492648"/>
      <w:bookmarkStart w:id="120" w:name="_Toc230559733"/>
      <w:bookmarkStart w:id="121" w:name="_Toc229957260"/>
      <w:bookmarkEnd w:id="119"/>
      <w:r>
        <w:rPr/>
        <w:t>15 Operadores de Intervalo, Acesso</w:t>
      </w:r>
      <w:bookmarkEnd w:id="121"/>
      <w:r>
        <w:rPr/>
        <w:t>/Slice</w:t>
      </w:r>
      <w:bookmarkEnd w:id="120"/>
    </w:p>
    <w:p>
      <w:pPr>
        <w:pStyle w:val="Normal"/>
        <w:spacing w:lineRule="auto" w:line="276" w:before="0" w:after="0"/>
        <w:ind w:firstLine="567"/>
        <w:contextualSpacing/>
        <w:jc w:val="both"/>
        <w:rPr/>
      </w:pPr>
      <w:r>
        <w:rPr/>
        <w:t xml:space="preserve">Os operadores de acesso permite a localização de um elemento em um tensor e como operador de </w:t>
      </w:r>
      <w:r>
        <w:rPr>
          <w:i/>
          <w:iCs/>
        </w:rPr>
        <w:t>slice</w:t>
      </w:r>
      <w:r>
        <w:rPr/>
        <w:t xml:space="preserve"> (fatiamento) permite a extração de informações de um String ou </w:t>
      </w:r>
      <w:r>
        <w:rPr/>
        <w:t>coleção</w:t>
      </w:r>
      <w:r>
        <w:rPr/>
        <w:t>.</w:t>
      </w:r>
    </w:p>
    <w:tbl>
      <w:tblPr>
        <w:tblStyle w:val="Tabelacomgrade"/>
        <w:tblW w:w="5095"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28"/>
        <w:gridCol w:w="3667"/>
      </w:tblGrid>
      <w:tr>
        <w:trPr/>
        <w:tc>
          <w:tcPr>
            <w:tcW w:w="1428"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Operador</w:t>
            </w:r>
          </w:p>
        </w:tc>
        <w:tc>
          <w:tcPr>
            <w:tcW w:w="3667"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Função</w:t>
            </w:r>
          </w:p>
        </w:tc>
      </w:tr>
      <w:tr>
        <w:trPr/>
        <w:tc>
          <w:tcPr>
            <w:tcW w:w="1428" w:type="dxa"/>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w:t>
            </w:r>
          </w:p>
        </w:tc>
        <w:tc>
          <w:tcPr>
            <w:tcW w:w="3667"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intervalo</w:t>
            </w:r>
          </w:p>
        </w:tc>
      </w:tr>
      <w:tr>
        <w:trPr/>
        <w:tc>
          <w:tcPr>
            <w:tcW w:w="1428"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[x, y]</w:t>
            </w:r>
          </w:p>
        </w:tc>
        <w:tc>
          <w:tcPr>
            <w:tcW w:w="3667"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Permitir acesso</w:t>
            </w:r>
            <w:r>
              <w:rPr>
                <w:rFonts w:eastAsia="Aptos" w:cs="Arial"/>
                <w:kern w:val="2"/>
                <w:sz w:val="24"/>
                <w:szCs w:val="24"/>
                <w:lang w:val="pt-BR" w:eastAsia="en-US" w:bidi="ar-SA"/>
              </w:rPr>
              <w:t xml:space="preserve"> ao termo x, y</w:t>
            </w:r>
          </w:p>
        </w:tc>
      </w:tr>
      <w:tr>
        <w:trPr/>
        <w:tc>
          <w:tcPr>
            <w:tcW w:w="1428"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b/>
                <w:bCs/>
                <w:sz w:val="24"/>
              </w:rPr>
              <w:t>[ .. ]</w:t>
            </w:r>
          </w:p>
        </w:tc>
        <w:tc>
          <w:tcPr>
            <w:tcW w:w="3667" w:type="dxa"/>
            <w:tcBorders>
              <w:top w:val="nil"/>
            </w:tcBorders>
          </w:tcPr>
          <w:p>
            <w:pPr>
              <w:pStyle w:val="Normal"/>
              <w:widowControl/>
              <w:suppressAutoHyphens w:val="true"/>
              <w:spacing w:before="0" w:after="0"/>
              <w:contextualSpacing/>
              <w:jc w:val="both"/>
              <w:rPr>
                <w:rFonts w:eastAsia="Aptos"/>
              </w:rPr>
            </w:pPr>
            <w:r>
              <w:rPr>
                <w:rFonts w:eastAsia="Aptos"/>
                <w:sz w:val="24"/>
              </w:rPr>
              <w:t>Fatiamento do inicial até o final</w:t>
            </w:r>
          </w:p>
        </w:tc>
      </w:tr>
      <w:tr>
        <w:trPr/>
        <w:tc>
          <w:tcPr>
            <w:tcW w:w="1428"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 x .. ]</w:t>
            </w:r>
          </w:p>
        </w:tc>
        <w:tc>
          <w:tcPr>
            <w:tcW w:w="3667"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Fatiamento de x até o final</w:t>
            </w:r>
          </w:p>
        </w:tc>
      </w:tr>
      <w:tr>
        <w:trPr/>
        <w:tc>
          <w:tcPr>
            <w:tcW w:w="1428"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 .. y ]</w:t>
            </w:r>
          </w:p>
        </w:tc>
        <w:tc>
          <w:tcPr>
            <w:tcW w:w="3667"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Fatiamento de 1 até y</w:t>
            </w:r>
          </w:p>
        </w:tc>
      </w:tr>
      <w:tr>
        <w:trPr/>
        <w:tc>
          <w:tcPr>
            <w:tcW w:w="1428" w:type="dxa"/>
            <w:tcBorders>
              <w:top w:val="nil"/>
            </w:tcBorders>
            <w:shd w:color="auto" w:fill="CAEDFB" w:themeFill="accent4" w:themeFillTint="33" w:val="clea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 x .. y ]</w:t>
            </w:r>
          </w:p>
        </w:tc>
        <w:tc>
          <w:tcPr>
            <w:tcW w:w="3667"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Fatiamento de x até y</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6" name="Forma26"/>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122" w:name="__RefHeading___Toc8394_3056492648"/>
      <w:bookmarkStart w:id="123" w:name="_Toc230559734"/>
      <w:bookmarkStart w:id="124" w:name="_Toc229957261"/>
      <w:bookmarkEnd w:id="122"/>
      <w:r>
        <w:rPr>
          <w:rFonts w:cs="Arial" w:ascii="Arial" w:hAnsi="Arial"/>
        </w:rPr>
        <w:t xml:space="preserve">16 Operadores </w:t>
      </w:r>
      <w:bookmarkEnd w:id="124"/>
      <w:r>
        <w:rPr>
          <w:rFonts w:cs="Arial" w:ascii="Arial" w:hAnsi="Arial"/>
        </w:rPr>
        <w:t>Relacionais</w:t>
      </w:r>
      <w:bookmarkEnd w:id="123"/>
    </w:p>
    <w:p>
      <w:pPr>
        <w:pStyle w:val="Normal"/>
        <w:ind w:firstLine="567"/>
        <w:jc w:val="both"/>
        <w:rPr/>
      </w:pPr>
      <w:r>
        <w:rPr/>
        <w:t xml:space="preserve">A </w:t>
      </w:r>
      <w:r>
        <w:rPr>
          <w:b/>
          <w:bCs/>
        </w:rPr>
        <w:t xml:space="preserve">FLUX </w:t>
      </w:r>
      <w:r>
        <w:rPr/>
        <w:t xml:space="preserve">adota o conjunto padrão de operadores relacionais para avaliações matemáticas e booleanas. Esses conectivos comparam dois operandos e resolvem a expressão retornando um estado de verdade estrutural (true ou false). Eles constituem a base para desvios condicionais e para a filtragem de matrizes dentro das </w:t>
      </w:r>
      <w:r>
        <w:rPr>
          <w:i/>
          <w:iCs/>
        </w:rPr>
        <w:t>pipelines</w:t>
      </w:r>
      <w:r>
        <w:rPr/>
        <w:t>.</w:t>
      </w:r>
    </w:p>
    <w:p>
      <w:pPr>
        <w:pStyle w:val="Normal"/>
        <w:jc w:val="both"/>
        <w:rPr/>
      </w:pPr>
      <w:r>
        <w:rPr/>
      </w:r>
    </w:p>
    <w:tbl>
      <w:tblPr>
        <w:tblStyle w:val="Tabelacomgrade"/>
        <w:tblW w:w="84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15"/>
        <w:gridCol w:w="1416"/>
        <w:gridCol w:w="5663"/>
      </w:tblGrid>
      <w:tr>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Operador</w:t>
            </w:r>
          </w:p>
        </w:tc>
        <w:tc>
          <w:tcPr>
            <w:tcW w:w="1416"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Finalidade</w:t>
            </w:r>
          </w:p>
        </w:tc>
        <w:tc>
          <w:tcPr>
            <w:tcW w:w="5663"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Avaliação</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igualdade</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os valores avaliados forem idênticos.</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diferença</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os valores avaliados forem diferentes.</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&lt;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menor</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 operando à esquerda for estritamente menor.</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&gt;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maior</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 operando à esquerda for estritamente maior.</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&lt;=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menor igual</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 operando à esquerda for menor ou idêntico.</w:t>
            </w:r>
          </w:p>
        </w:tc>
      </w:tr>
      <w:tr>
        <w:trPr>
          <w:trHeight w:val="567" w:hRule="atLeast"/>
        </w:trPr>
        <w:tc>
          <w:tcPr>
            <w:tcW w:w="1415" w:type="dxa"/>
            <w:tcBorders/>
            <w:shd w:color="auto" w:fill="CAEDFB" w:themeFill="accent4" w:themeFillTint="33" w:val="clear"/>
            <w:vAlign w:val="center"/>
          </w:tcPr>
          <w:p>
            <w:pPr>
              <w:pStyle w:val="Normal"/>
              <w:widowControl/>
              <w:suppressAutoHyphens w:val="true"/>
              <w:spacing w:before="0" w:after="0"/>
              <w:jc w:val="center"/>
              <w:rPr>
                <w:b/>
                <w:bCs/>
              </w:rPr>
            </w:pPr>
            <w:r>
              <w:rPr>
                <w:rFonts w:eastAsia="Aptos" w:cs="Arial"/>
                <w:b/>
                <w:bCs/>
                <w:kern w:val="2"/>
                <w:sz w:val="24"/>
                <w:szCs w:val="24"/>
                <w:lang w:val="pt-BR" w:eastAsia="en-US" w:bidi="ar-SA"/>
              </w:rPr>
              <w:t>&gt;=</w:t>
            </w:r>
          </w:p>
        </w:tc>
        <w:tc>
          <w:tcPr>
            <w:tcW w:w="1416"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maior igual</w:t>
            </w:r>
          </w:p>
        </w:tc>
        <w:tc>
          <w:tcPr>
            <w:tcW w:w="5663" w:type="dxa"/>
            <w:tcBorders/>
            <w:vAlign w:val="center"/>
          </w:tcPr>
          <w:p>
            <w:pPr>
              <w:pStyle w:val="Normal"/>
              <w:widowControl/>
              <w:suppressAutoHyphens w:val="true"/>
              <w:spacing w:before="0" w:after="0"/>
              <w:jc w:val="both"/>
              <w:rPr>
                <w:rFonts w:eastAsia="Aptos"/>
              </w:rPr>
            </w:pPr>
            <w:r>
              <w:rPr>
                <w:rFonts w:eastAsia="Aptos" w:cs="Arial"/>
                <w:kern w:val="2"/>
                <w:sz w:val="24"/>
                <w:szCs w:val="24"/>
                <w:lang w:val="pt-BR" w:eastAsia="en-US" w:bidi="ar-SA"/>
              </w:rPr>
              <w:t>Retorna true se o operando à esquerda for maior ou idêntico.</w:t>
            </w:r>
          </w:p>
        </w:tc>
      </w:tr>
    </w:tbl>
    <w:p>
      <w:pPr>
        <w:pStyle w:val="Normal"/>
        <w:jc w:val="both"/>
        <w:rPr/>
      </w:pPr>
      <w:r>
        <w:rPr/>
      </w:r>
    </w:p>
    <w:p>
      <w:pPr>
        <w:pStyle w:val="Normal"/>
        <w:jc w:val="both"/>
        <w:rPr/>
      </w:pPr>
      <w:r>
        <w:rPr/>
      </w:r>
    </w:p>
    <w:p>
      <w:pPr>
        <w:pStyle w:val="Normal"/>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7" name="Forma27"/>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125" w:name="__RefHeading___Toc8396_3056492648"/>
      <w:bookmarkStart w:id="126" w:name="_Toc230559735"/>
      <w:bookmarkStart w:id="127" w:name="_Toc229957279"/>
      <w:bookmarkEnd w:id="125"/>
      <w:r>
        <w:rPr>
          <w:rFonts w:cs="Arial" w:ascii="Arial" w:hAnsi="Arial"/>
        </w:rPr>
        <w:t>17 Representação de Identificador de dados</w:t>
      </w:r>
      <w:bookmarkEnd w:id="126"/>
      <w:bookmarkEnd w:id="127"/>
    </w:p>
    <w:p>
      <w:pPr>
        <w:pStyle w:val="Normal"/>
        <w:spacing w:lineRule="auto" w:line="276" w:before="0" w:after="0"/>
        <w:ind w:firstLine="567"/>
        <w:contextualSpacing/>
        <w:jc w:val="both"/>
        <w:rPr/>
      </w:pPr>
      <w:r>
        <w:rPr/>
        <w:t xml:space="preserve">Na </w:t>
      </w:r>
      <w:r>
        <w:rPr>
          <w:b/>
          <w:bCs/>
        </w:rPr>
        <w:t xml:space="preserve">FLUX </w:t>
      </w:r>
      <w:r>
        <mc:AlternateContent>
          <mc:Choice Requires="wps">
            <w:drawing>
              <wp:anchor distT="0" distB="0" distL="93980" distR="124460" simplePos="0" relativeHeight="23" behindDoc="0" locked="0" layoutInCell="0" allowOverlap="1">
                <wp:simplePos x="0" y="0"/>
                <wp:positionH relativeFrom="margin">
                  <wp:posOffset>-3810</wp:posOffset>
                </wp:positionH>
                <wp:positionV relativeFrom="paragraph">
                  <wp:posOffset>479425</wp:posOffset>
                </wp:positionV>
                <wp:extent cx="5381625" cy="304800"/>
                <wp:effectExtent l="10160" t="9525" r="8890" b="9525"/>
                <wp:wrapTopAndBottom/>
                <wp:docPr id="18" name="Quadro1"/>
                <a:graphic xmlns:a="http://schemas.openxmlformats.org/drawingml/2006/main">
                  <a:graphicData uri="http://schemas.microsoft.com/office/word/2010/wordprocessingShape">
                    <wps:wsp>
                      <wps:cNvSpPr/>
                      <wps:spPr>
                        <a:xfrm>
                          <a:off x="0" y="0"/>
                          <a:ext cx="5381640" cy="304920"/>
                        </a:xfrm>
                        <a:prstGeom prst="rect">
                          <a:avLst/>
                        </a:prstGeom>
                        <a:solidFill>
                          <a:srgbClr val="DCEAF7"/>
                        </a:solidFill>
                        <a:ln w="19050">
                          <a:solidFill>
                            <a:srgbClr val="4E95D9"/>
                          </a:solidFill>
                          <a:round/>
                        </a:ln>
                      </wps:spPr>
                      <wps:style>
                        <a:lnRef idx="0"/>
                        <a:fillRef idx="0"/>
                        <a:effectRef idx="0"/>
                        <a:fontRef idx="minor"/>
                      </wps:style>
                      <wps:txbx>
                        <w:txbxContent>
                          <w:p>
                            <w:pPr>
                              <w:pStyle w:val="Contedodoquadrouser"/>
                              <w:jc w:val="center"/>
                              <w:rPr>
                                <w:b/>
                                <w:bCs/>
                              </w:rPr>
                            </w:pPr>
                            <w:r>
                              <w:rPr>
                                <w:b/>
                                <w:bCs/>
                                <w:color w:val="000000"/>
                              </w:rPr>
                              <w:t>MUTABILIDADE as TIPO[SHAPE]: NOME = ATRIBUIÇÃO INICIAL</w:t>
                            </w:r>
                          </w:p>
                        </w:txbxContent>
                      </wps:txbx>
                      <wps:bodyPr anchor="t">
                        <a:noAutofit/>
                      </wps:bodyPr>
                    </wps:wsp>
                  </a:graphicData>
                </a:graphic>
              </wp:anchor>
            </w:drawing>
          </mc:Choice>
          <mc:Fallback>
            <w:pict>
              <v:rect id="shape_0" fillcolor="#dceaf7" stroked="t" o:allowincell="f" style="position:absolute;margin-left:-0.3pt;margin-top:37.75pt;width:423.7pt;height:23.95pt;mso-wrap-style:square;v-text-anchor:top;mso-position-horizontal-relative:margin">
                <v:fill o:detectmouseclick="t" type="solid" color2="#231508"/>
                <v:stroke color="#4e95d9" weight="19080" joinstyle="round" endcap="flat"/>
                <v:textbox>
                  <w:txbxContent>
                    <w:p>
                      <w:pPr>
                        <w:pStyle w:val="Contedodoquadrouser"/>
                        <w:jc w:val="center"/>
                        <w:rPr>
                          <w:b/>
                          <w:bCs/>
                        </w:rPr>
                      </w:pPr>
                      <w:r>
                        <w:rPr>
                          <w:b/>
                          <w:bCs/>
                          <w:color w:val="000000"/>
                        </w:rPr>
                        <w:t>MUTABILIDADE as TIPO[SHAPE]: NOME = ATRIBUIÇÃO INICIAL</w:t>
                      </w:r>
                    </w:p>
                  </w:txbxContent>
                </v:textbox>
                <w10:wrap type="topAndBottom"/>
              </v:rect>
            </w:pict>
          </mc:Fallback>
        </mc:AlternateContent>
      </w:r>
      <w:r>
        <w:rPr/>
        <w:t>a codificação de um identificador de dados no código, seja numérico ou textual, ocorre com a seguinte formatação:</w:t>
      </w:r>
    </w:p>
    <w:p>
      <w:pPr>
        <w:pStyle w:val="Normal"/>
        <w:spacing w:lineRule="auto" w:line="276" w:before="0" w:after="0"/>
        <w:contextualSpacing/>
        <w:jc w:val="both"/>
        <w:rPr/>
      </w:pPr>
      <w:r>
        <w:rPr/>
      </w:r>
    </w:p>
    <w:p>
      <w:pPr>
        <w:pStyle w:val="Normal"/>
        <w:spacing w:lineRule="auto" w:line="276" w:before="0" w:after="0"/>
        <w:ind w:firstLine="567"/>
        <w:contextualSpacing/>
        <w:jc w:val="both"/>
        <w:rPr/>
      </w:pPr>
      <w:r>
        <w:rPr/>
        <w:t>Sendo que:</w:t>
      </w:r>
    </w:p>
    <w:p>
      <w:pPr>
        <w:pStyle w:val="ListParagraph"/>
        <w:numPr>
          <w:ilvl w:val="0"/>
          <w:numId w:val="2"/>
        </w:numPr>
        <w:spacing w:lineRule="auto" w:line="276"/>
        <w:jc w:val="both"/>
        <w:rPr/>
      </w:pPr>
      <w:r>
        <w:rPr>
          <w:b/>
          <w:bCs/>
        </w:rPr>
        <w:t>MUTABILIDADE</w:t>
      </w:r>
      <w:r>
        <w:rPr/>
        <w:t xml:space="preserve"> é de declaração obrigatória</w:t>
      </w:r>
    </w:p>
    <w:p>
      <w:pPr>
        <w:pStyle w:val="ListParagraph"/>
        <w:numPr>
          <w:ilvl w:val="0"/>
          <w:numId w:val="2"/>
        </w:numPr>
        <w:spacing w:lineRule="auto" w:line="276"/>
        <w:jc w:val="both"/>
        <w:rPr/>
      </w:pPr>
      <w:r>
        <w:rPr>
          <w:b/>
          <w:bCs/>
        </w:rPr>
        <w:t>TIPO</w:t>
      </w:r>
      <w:r>
        <w:rPr/>
        <w:t xml:space="preserve"> deve ser de declaração explicita</w:t>
      </w:r>
    </w:p>
    <w:p>
      <w:pPr>
        <w:pStyle w:val="ListParagraph"/>
        <w:numPr>
          <w:ilvl w:val="0"/>
          <w:numId w:val="2"/>
        </w:numPr>
        <w:spacing w:lineRule="auto" w:line="276"/>
        <w:jc w:val="both"/>
        <w:rPr/>
      </w:pPr>
      <w:r>
        <w:rPr>
          <w:b/>
          <w:bCs/>
        </w:rPr>
        <w:t>SHAPE</w:t>
      </w:r>
      <w:r>
        <w:rPr/>
        <w:t xml:space="preserve"> pode ser declarada para otimização máxima</w:t>
      </w:r>
    </w:p>
    <w:p>
      <w:pPr>
        <w:pStyle w:val="ListParagraph"/>
        <w:numPr>
          <w:ilvl w:val="0"/>
          <w:numId w:val="2"/>
        </w:numPr>
        <w:spacing w:lineRule="auto" w:line="276"/>
        <w:jc w:val="both"/>
        <w:rPr/>
      </w:pPr>
      <w:r>
        <w:rPr>
          <w:b/>
          <w:bCs/>
        </w:rPr>
        <w:t>NOME</w:t>
      </w:r>
      <w:r>
        <w:rPr/>
        <w:t xml:space="preserve"> é de declaração obrigatória</w:t>
      </w:r>
    </w:p>
    <w:p>
      <w:pPr>
        <w:pStyle w:val="ListParagraph"/>
        <w:numPr>
          <w:ilvl w:val="0"/>
          <w:numId w:val="2"/>
        </w:numPr>
        <w:spacing w:lineRule="auto" w:line="276"/>
        <w:jc w:val="both"/>
        <w:rPr/>
      </w:pPr>
      <w:r>
        <w:rPr>
          <w:b/>
          <w:bCs/>
        </w:rPr>
        <w:t>ATRIBUIÇÃO INICIAL</w:t>
      </w:r>
      <w:r>
        <w:rPr/>
        <w:t xml:space="preserve"> </w:t>
      </w:r>
      <w:r>
        <w:rPr>
          <w:i w:val="false"/>
          <w:iCs w:val="false"/>
        </w:rPr>
        <w:t>pode ser declarado o valor inicial ou por valor de atribuição inicial</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128" w:name="__RefHeading___Toc8398_3056492648"/>
      <w:bookmarkStart w:id="129" w:name="_Toc230559736"/>
      <w:bookmarkStart w:id="130" w:name="_Toc229957280"/>
      <w:bookmarkEnd w:id="128"/>
      <w:r>
        <w:rPr>
          <w:rFonts w:cs="Arial" w:ascii="Arial" w:hAnsi="Arial"/>
        </w:rPr>
        <w:t>17.1 Sistema de Mutabilidade</w:t>
      </w:r>
      <w:bookmarkEnd w:id="129"/>
      <w:bookmarkEnd w:id="130"/>
    </w:p>
    <w:p>
      <w:pPr>
        <w:pStyle w:val="Normal"/>
        <w:spacing w:lineRule="auto" w:line="276" w:before="0" w:after="0"/>
        <w:ind w:firstLine="567"/>
        <w:contextualSpacing/>
        <w:jc w:val="both"/>
        <w:rPr/>
      </w:pPr>
      <w:r>
        <w:rPr/>
        <w:t xml:space="preserve">Na </w:t>
      </w:r>
      <w:r>
        <w:rPr>
          <w:b/>
          <w:bCs/>
        </w:rPr>
        <w:t>FLUX</w:t>
      </w:r>
      <w:r>
        <w:rPr/>
        <w:t xml:space="preserve">, a mutabilidade não é opcional. Toda variável deve declarar sua natureza no momento da criação para que o </w:t>
      </w:r>
      <w:r>
        <w:rPr>
          <w:b/>
          <w:bCs/>
          <w:i/>
          <w:iCs/>
        </w:rPr>
        <w:t>kernel</w:t>
      </w:r>
      <w:r>
        <w:rPr/>
        <w:t xml:space="preserve"> otimize o gerenciamento de memória.</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31" w:name="__RefHeading___Toc8400_3056492648"/>
      <w:bookmarkStart w:id="132" w:name="_Toc230559737"/>
      <w:bookmarkStart w:id="133" w:name="_Toc229957281"/>
      <w:bookmarkEnd w:id="131"/>
      <w:r>
        <w:rPr>
          <w:rFonts w:cs="Arial" w:ascii="Arial" w:hAnsi="Arial"/>
        </w:rPr>
        <w:t>17.1.1 imut (Imutável – SCREAMING_SNAKE)</w:t>
      </w:r>
      <w:bookmarkEnd w:id="132"/>
      <w:bookmarkEnd w:id="133"/>
    </w:p>
    <w:p>
      <w:pPr>
        <w:pStyle w:val="Normal"/>
        <w:spacing w:lineRule="auto" w:line="276" w:before="0" w:after="0"/>
        <w:ind w:firstLine="567"/>
        <w:contextualSpacing/>
        <w:jc w:val="both"/>
        <w:rPr/>
      </w:pPr>
      <w:r>
        <w:rPr/>
        <w:t xml:space="preserve">Declara uma constante, assim sendo, uma vez atribuído, o valor não pode ser modificado. O </w:t>
      </w:r>
      <w:r>
        <w:rPr>
          <w:b/>
          <w:bCs/>
          <w:i/>
          <w:iCs/>
        </w:rPr>
        <w:t>kernel</w:t>
      </w:r>
      <w:r>
        <w:rPr>
          <w:b/>
          <w:bCs/>
        </w:rPr>
        <w:t xml:space="preserve"> </w:t>
      </w:r>
      <w:r>
        <w:rPr/>
        <w:t xml:space="preserve">protege esse bloco de memória contra escritas acidentais. Podendo ser utilizadas em constantes físicas, configurações de </w:t>
      </w:r>
      <w:r>
        <w:rPr>
          <w:i/>
          <w:iCs/>
        </w:rPr>
        <w:t>agent</w:t>
      </w:r>
      <w:r>
        <w:rPr/>
        <w:t>s, identificadores fixos.</w:t>
      </w:r>
    </w:p>
    <w:p>
      <w:pPr>
        <w:pStyle w:val="Normal"/>
        <w:spacing w:lineRule="auto" w:line="276" w:before="0" w:after="0"/>
        <w:ind w:hanging="0" w:left="0"/>
        <w:contextualSpacing/>
        <w:jc w:val="both"/>
        <w:rPr/>
      </w:pPr>
      <w:r>
        <w:rPr>
          <w:b/>
          <w:bCs/>
        </w:rPr>
        <w:t>Nota:</w:t>
      </w:r>
      <w:r>
        <w:rPr/>
        <w:t xml:space="preserve"> Para identificadores imut, a declaração do tipo e a atribuição de valor é obrigatória no ato da declaração, pois o </w:t>
      </w:r>
      <w:r>
        <w:rPr>
          <w:i/>
          <w:iCs/>
        </w:rPr>
        <w:t>Kernel</w:t>
      </w:r>
      <w:r>
        <w:rPr/>
        <w:t xml:space="preserve"> bloqueia alterações.</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34" w:name="__RefHeading___Toc8402_3056492648"/>
      <w:bookmarkStart w:id="135" w:name="_Toc230559738"/>
      <w:bookmarkStart w:id="136" w:name="_Toc229957282"/>
      <w:bookmarkEnd w:id="134"/>
      <w:r>
        <w:rPr>
          <w:rFonts w:cs="Arial" w:ascii="Arial" w:hAnsi="Arial"/>
        </w:rPr>
        <w:t>17.1.2 mut (Mutável – snake_case)</w:t>
      </w:r>
      <w:bookmarkEnd w:id="135"/>
      <w:bookmarkEnd w:id="136"/>
    </w:p>
    <w:p>
      <w:pPr>
        <w:pStyle w:val="Normal"/>
        <w:spacing w:lineRule="auto" w:line="276" w:before="0" w:after="0"/>
        <w:ind w:firstLine="567"/>
        <w:contextualSpacing/>
        <w:jc w:val="both"/>
        <w:rPr/>
      </w:pPr>
      <w:r>
        <w:rPr/>
        <w:t>Declara uma variável, ou seja, o valor ou conteúdo armazenado pode ser alterado durante o fluxo. Utilizada em variáveis de estado, acumuladores, vetores de posição.</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137" w:name="__RefHeading___Toc8404_3056492648"/>
      <w:bookmarkStart w:id="138" w:name="_Toc230559739"/>
      <w:bookmarkStart w:id="139" w:name="_Toc229957283"/>
      <w:bookmarkEnd w:id="137"/>
      <w:r>
        <w:rPr>
          <w:rFonts w:cs="Arial" w:ascii="Arial" w:hAnsi="Arial"/>
        </w:rPr>
        <w:t>17.2 Sistema de Tipo (Híbrido e Gradual)</w:t>
      </w:r>
      <w:bookmarkEnd w:id="138"/>
      <w:bookmarkEnd w:id="139"/>
    </w:p>
    <w:p>
      <w:pPr>
        <w:pStyle w:val="Normal"/>
        <w:spacing w:lineRule="auto" w:line="276" w:before="0" w:after="0"/>
        <w:ind w:firstLine="567"/>
        <w:contextualSpacing/>
        <w:jc w:val="both"/>
        <w:rPr/>
      </w:pPr>
      <w:r>
        <w:rPr/>
        <w:t xml:space="preserve">A </w:t>
      </w:r>
      <w:r>
        <w:rPr>
          <w:b/>
          <w:bCs/>
        </w:rPr>
        <w:t xml:space="preserve">FLUX </w:t>
      </w:r>
      <w:r>
        <w:rPr/>
        <w:t>permite que o programador escolha entre flexibilidade e rigor, dependendo do contexto.</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40" w:name="__RefHeading___Toc8406_3056492648"/>
      <w:bookmarkStart w:id="141" w:name="_Toc230559740"/>
      <w:bookmarkStart w:id="142" w:name="_Toc229957284"/>
      <w:bookmarkEnd w:id="140"/>
      <w:r>
        <w:rPr>
          <w:rFonts w:cs="Arial" w:ascii="Arial" w:hAnsi="Arial"/>
        </w:rPr>
        <w:t>17.2.1 Declaração Explícita</w:t>
      </w:r>
      <w:bookmarkEnd w:id="141"/>
      <w:bookmarkEnd w:id="142"/>
    </w:p>
    <w:p>
      <w:pPr>
        <w:pStyle w:val="Normal"/>
        <w:spacing w:lineRule="auto" w:line="276" w:before="0" w:after="0"/>
        <w:ind w:firstLine="567"/>
        <w:contextualSpacing/>
        <w:jc w:val="both"/>
        <w:rPr/>
      </w:pPr>
      <w:r>
        <w:rPr/>
        <w:t xml:space="preserve">Utiliza o operador “:” para fixar o tipo. É recomendada para contratos de funções e obrigatória em </w:t>
      </w:r>
      <w:r>
        <w:rPr>
          <w:b/>
          <w:bCs/>
        </w:rPr>
        <w:t>Structs</w:t>
      </w:r>
      <w:r>
        <w:rPr/>
        <w:t xml:space="preserve"> para garantir a alocação correta de memória pelo </w:t>
      </w:r>
      <w:r>
        <w:rPr>
          <w:i/>
          <w:iCs/>
        </w:rPr>
        <w:t>Kernel</w:t>
      </w:r>
      <w:r>
        <w:rPr/>
        <w:t>.</w:t>
      </w:r>
    </w:p>
    <w:p>
      <w:pPr>
        <w:pStyle w:val="Normal"/>
        <w:spacing w:lineRule="auto" w:line="276" w:before="0" w:after="0"/>
        <w:ind w:hanging="0" w:left="0"/>
        <w:contextualSpacing/>
        <w:jc w:val="both"/>
        <w:rPr/>
      </w:pPr>
      <w:r>
        <w:rPr>
          <w:b/>
          <w:bCs/>
        </w:rPr>
        <w:t>Nota:</w:t>
      </w:r>
      <w:r>
        <w:rPr/>
        <w:t xml:space="preserve"> Para identificadores imut, da declaração do tipo e a atribuição de valor é obrigatória no ato da declaração, pois o </w:t>
      </w:r>
      <w:r>
        <w:rPr>
          <w:i/>
          <w:iCs/>
        </w:rPr>
        <w:t>Kernel</w:t>
      </w:r>
      <w:r>
        <w:rPr/>
        <w:t xml:space="preserve"> bloqueia alterações posteriores.</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43" w:name="__RefHeading___Toc8408_3056492648"/>
      <w:bookmarkStart w:id="144" w:name="_Toc230559741"/>
      <w:bookmarkStart w:id="145" w:name="_Toc229957285"/>
      <w:bookmarkEnd w:id="143"/>
      <w:r>
        <w:rPr>
          <w:rFonts w:cs="Arial" w:ascii="Arial" w:hAnsi="Arial"/>
        </w:rPr>
        <w:t>17.2.2 Inferência Automática</w:t>
      </w:r>
      <w:bookmarkEnd w:id="144"/>
      <w:bookmarkEnd w:id="145"/>
    </w:p>
    <w:p>
      <w:pPr>
        <w:pStyle w:val="Normal"/>
        <w:spacing w:lineRule="auto" w:line="276" w:before="0" w:after="0"/>
        <w:ind w:firstLine="567"/>
        <w:contextualSpacing/>
        <w:jc w:val="both"/>
        <w:rPr/>
      </w:pPr>
      <w:r>
        <w:rPr/>
        <w:t xml:space="preserve">O </w:t>
      </w:r>
      <w:r>
        <w:rPr>
          <w:b/>
          <w:bCs/>
          <w:i/>
          <w:iCs/>
        </w:rPr>
        <w:t>kernel</w:t>
      </w:r>
      <w:r>
        <w:rPr/>
        <w:t xml:space="preserve"> analisa o valor atribuído e define o tipo automaticamente. É o modo ideal para prototipagem e ensino.</w:t>
      </w:r>
    </w:p>
    <w:p>
      <w:pPr>
        <w:pStyle w:val="Normal"/>
        <w:spacing w:lineRule="auto" w:line="276" w:before="0" w:after="0"/>
        <w:ind w:hanging="0" w:left="0"/>
        <w:contextualSpacing/>
        <w:jc w:val="both"/>
        <w:rPr/>
      </w:pPr>
      <w:r>
        <w:rPr>
          <w:b/>
          <w:bCs/>
        </w:rPr>
        <w:t>Nota:</w:t>
      </w:r>
      <w:r>
        <w:rPr/>
        <w:t xml:space="preserve"> O </w:t>
      </w:r>
      <w:r>
        <w:rPr>
          <w:i/>
          <w:iCs/>
        </w:rPr>
        <w:t>kernel</w:t>
      </w:r>
      <w:r>
        <w:rPr/>
        <w:t xml:space="preserve"> analisa o valor atribuído para definir o tipo. Caso não haja valor atribuído, a declaração do tipo deve ser explícita.</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46" w:name="__RefHeading___Toc8410_3056492648"/>
      <w:bookmarkStart w:id="147" w:name="_Toc230559742"/>
      <w:bookmarkStart w:id="148" w:name="_Toc229957286"/>
      <w:bookmarkEnd w:id="146"/>
      <w:r>
        <w:rPr>
          <w:rFonts w:cs="Arial" w:ascii="Arial" w:hAnsi="Arial"/>
        </w:rPr>
        <w:t>17.2.3 Tipagem em Funções e Structs</w:t>
      </w:r>
      <w:bookmarkEnd w:id="147"/>
      <w:bookmarkEnd w:id="148"/>
    </w:p>
    <w:p>
      <w:pPr>
        <w:pStyle w:val="Normal"/>
        <w:numPr>
          <w:ilvl w:val="0"/>
          <w:numId w:val="1"/>
        </w:numPr>
        <w:spacing w:lineRule="auto" w:line="276" w:before="0" w:after="0"/>
        <w:contextualSpacing/>
        <w:jc w:val="both"/>
        <w:rPr/>
      </w:pPr>
      <w:r>
        <w:rPr>
          <w:b/>
          <w:bCs/>
        </w:rPr>
        <w:t>Funções:</w:t>
      </w:r>
      <w:r>
        <w:rPr/>
        <w:t xml:space="preserve"> Podem omitir tipos nos parâmetros (inferência em tempo de execução), mas definir o tipo de retorno para aumenta a performance do despacho.</w:t>
      </w:r>
    </w:p>
    <w:p>
      <w:pPr>
        <w:pStyle w:val="Normal"/>
        <w:numPr>
          <w:ilvl w:val="0"/>
          <w:numId w:val="1"/>
        </w:numPr>
        <w:spacing w:lineRule="auto" w:line="276" w:before="0" w:after="0"/>
        <w:contextualSpacing/>
        <w:jc w:val="both"/>
        <w:rPr/>
      </w:pPr>
      <w:r>
        <w:rPr>
          <w:b/>
          <w:bCs/>
        </w:rPr>
        <w:t>Structs:</w:t>
      </w:r>
      <w:r>
        <w:rPr/>
        <w:t xml:space="preserve"> Exigem tipos explícitos para que o </w:t>
      </w:r>
      <w:r>
        <w:rPr>
          <w:b/>
          <w:bCs/>
          <w:i/>
          <w:iCs/>
        </w:rPr>
        <w:t>kernel</w:t>
      </w:r>
      <w:r>
        <w:rPr/>
        <w:t xml:space="preserve"> conheça o tamanho fixo da estrutura na memória.</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jc w:val="both"/>
        <w:rPr/>
      </w:pPr>
      <w:bookmarkStart w:id="149" w:name="__RefHeading___Toc8412_3056492648"/>
      <w:bookmarkStart w:id="150" w:name="_Toc230559743"/>
      <w:bookmarkStart w:id="151" w:name="_Toc229957287"/>
      <w:bookmarkEnd w:id="149"/>
      <w:r>
        <w:rPr>
          <w:rFonts w:cs="Arial" w:ascii="Arial" w:hAnsi="Arial"/>
        </w:rPr>
        <w:t>17.3 Shape</w:t>
      </w:r>
      <w:bookmarkEnd w:id="150"/>
      <w:bookmarkEnd w:id="151"/>
    </w:p>
    <w:p>
      <w:pPr>
        <w:pStyle w:val="Normal"/>
        <w:spacing w:lineRule="auto" w:line="276" w:before="0" w:after="0"/>
        <w:ind w:firstLine="567"/>
        <w:contextualSpacing/>
        <w:jc w:val="both"/>
        <w:rPr/>
      </w:pPr>
      <w:r>
        <w:rPr/>
        <w:t xml:space="preserve">Na linguagem </w:t>
      </w:r>
      <w:r>
        <w:rPr>
          <w:b/>
          <w:bCs/>
        </w:rPr>
        <w:t>FLUX</w:t>
      </w:r>
      <w:r>
        <w:rPr/>
        <w:t xml:space="preserve">, refere-se à estrutura dimensional e ao tamanho dos dados (especialmente em coleções como vetores, matrizes ou tensores). Ela define como o </w:t>
      </w:r>
      <w:r>
        <w:rPr>
          <w:b/>
          <w:bCs/>
          <w:i/>
          <w:iCs/>
        </w:rPr>
        <w:t>kernel</w:t>
      </w:r>
      <w:r>
        <w:rPr/>
        <w:t xml:space="preserve"> deve organizar os blocos de memória para acesso rápido.</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52" w:name="__RefHeading___Toc8414_3056492648"/>
      <w:bookmarkStart w:id="153" w:name="_Toc230559744"/>
      <w:bookmarkStart w:id="154" w:name="_Toc229957288"/>
      <w:bookmarkEnd w:id="152"/>
      <w:r>
        <w:rPr>
          <w:rFonts w:cs="Arial" w:ascii="Arial" w:hAnsi="Arial"/>
        </w:rPr>
        <w:t>17.3.1 Shape Estática (compile time)</w:t>
      </w:r>
      <w:bookmarkEnd w:id="153"/>
      <w:bookmarkEnd w:id="154"/>
    </w:p>
    <w:p>
      <w:pPr>
        <w:pStyle w:val="Normal"/>
        <w:spacing w:lineRule="auto" w:line="276" w:before="0" w:after="0"/>
        <w:ind w:firstLine="567"/>
        <w:contextualSpacing/>
        <w:jc w:val="both"/>
        <w:rPr/>
      </w:pPr>
      <w:r>
        <w:rPr/>
        <w:t xml:space="preserve">A estrutura e o tamanho são definidos no momento da escrita do código. O </w:t>
      </w:r>
      <w:r>
        <w:rPr>
          <w:b/>
          <w:bCs/>
          <w:i/>
          <w:iCs/>
        </w:rPr>
        <w:t>kernel</w:t>
      </w:r>
      <w:r>
        <w:rPr/>
        <w:t xml:space="preserve"> reserva o espaço exato na memória antes mesmo do programa rodar. É a forma de otimização máxima.</w:t>
      </w:r>
    </w:p>
    <w:p>
      <w:pPr>
        <w:pStyle w:val="Normal"/>
        <w:spacing w:lineRule="auto" w:line="276" w:before="0" w:after="0"/>
        <w:contextualSpacing/>
        <w:jc w:val="both"/>
        <w:rPr/>
      </w:pPr>
      <w:r>
        <w:rPr/>
      </w:r>
    </w:p>
    <w:p>
      <w:pPr>
        <w:pStyle w:val="Heading3"/>
        <w:spacing w:lineRule="auto" w:line="276" w:before="0" w:after="0"/>
        <w:contextualSpacing/>
        <w:jc w:val="both"/>
        <w:rPr/>
      </w:pPr>
      <w:bookmarkStart w:id="155" w:name="__RefHeading___Toc8414_3056492648_Copia_"/>
      <w:bookmarkStart w:id="156" w:name="_Toc230559744_Copia_1"/>
      <w:bookmarkStart w:id="157" w:name="_Toc229957288_Copia_1"/>
      <w:bookmarkEnd w:id="155"/>
      <w:r>
        <w:rPr>
          <w:rFonts w:cs="Arial" w:ascii="Arial" w:hAnsi="Arial"/>
        </w:rPr>
        <w:t>17.3.2 Dinâmico Estática (runtime)</w:t>
      </w:r>
      <w:bookmarkEnd w:id="156"/>
      <w:bookmarkEnd w:id="157"/>
    </w:p>
    <w:p>
      <w:pPr>
        <w:pStyle w:val="Normal"/>
        <w:widowControl/>
        <w:suppressAutoHyphens w:val="true"/>
        <w:bidi w:val="0"/>
        <w:spacing w:lineRule="auto" w:line="276" w:before="0" w:after="0"/>
        <w:ind w:firstLine="567" w:left="0" w:right="0"/>
        <w:contextualSpacing/>
        <w:jc w:val="both"/>
        <w:rPr/>
      </w:pPr>
      <w:r>
        <w:rPr/>
        <w:t>Em avaliação para implementação em versões futuras</w:t>
      </w:r>
    </w:p>
    <w:p>
      <w:pPr>
        <w:pStyle w:val="Normal"/>
        <w:spacing w:lineRule="auto" w:line="276" w:before="0" w:after="0"/>
        <w:contextualSpacing/>
        <w:jc w:val="both"/>
        <w:rPr/>
      </w:pPr>
      <w:r>
        <w:rPr/>
      </w:r>
    </w:p>
    <w:p>
      <w:pPr>
        <w:pStyle w:val="Heading2"/>
        <w:spacing w:lineRule="auto" w:line="276" w:before="0" w:after="0"/>
        <w:contextualSpacing/>
        <w:jc w:val="both"/>
        <w:rPr/>
      </w:pPr>
      <w:bookmarkStart w:id="158" w:name="__RefHeading___Toc8420_3056492648"/>
      <w:bookmarkStart w:id="159" w:name="_Toc230559747"/>
      <w:bookmarkStart w:id="160" w:name="_Toc229957291"/>
      <w:bookmarkEnd w:id="158"/>
      <w:r>
        <w:rPr>
          <w:rFonts w:cs="Arial" w:ascii="Arial" w:hAnsi="Arial"/>
        </w:rPr>
        <w:t>17.4 Atribuição Inicial</w:t>
      </w:r>
      <w:bookmarkEnd w:id="159"/>
      <w:bookmarkEnd w:id="160"/>
    </w:p>
    <w:p>
      <w:pPr>
        <w:pStyle w:val="Normal"/>
        <w:spacing w:lineRule="auto" w:line="276" w:before="0" w:after="0"/>
        <w:ind w:firstLine="567"/>
        <w:contextualSpacing/>
        <w:jc w:val="both"/>
        <w:rPr/>
      </w:pPr>
      <w:r>
        <w:rPr/>
        <w:t xml:space="preserve">Em </w:t>
      </w:r>
      <w:r>
        <w:rPr>
          <w:b/>
          <w:bCs/>
        </w:rPr>
        <w:t xml:space="preserve">FLUX </w:t>
      </w:r>
      <w:r>
        <w:rPr/>
        <w:t>a atribuição inicial de um identificador de dados mutável (mut) pode ocorrer por dois meios básicos a declaração explícita e o valor padrão.</w:t>
      </w:r>
    </w:p>
    <w:p>
      <w:pPr>
        <w:pStyle w:val="Normal"/>
        <w:spacing w:lineRule="auto" w:line="276" w:before="0" w:after="0"/>
        <w:contextualSpacing/>
        <w:jc w:val="both"/>
        <w:rPr/>
      </w:pPr>
      <w:r>
        <w:rPr/>
      </w:r>
    </w:p>
    <w:tbl>
      <w:tblPr>
        <w:tblStyle w:val="Tabelacomgrade"/>
        <w:tblW w:w="600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055"/>
        <w:gridCol w:w="3945"/>
      </w:tblGrid>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Tipo</w:t>
            </w:r>
          </w:p>
        </w:tc>
        <w:tc>
          <w:tcPr>
            <w:tcW w:w="3945" w:type="dxa"/>
            <w:tcBorders/>
            <w:shd w:color="auto" w:fill="CAEDFB" w:val="clea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Valor padrão</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int</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bigint</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 (futuro)</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uint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biguint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 (futuro)</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float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bigfloat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 (futuro)</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fp8_e4m3</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fp8_e5m2</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bf16_e8m7</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tf32_e8m10</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complex</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0.0+0.0i</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bigcomplex</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0.0+0.0i (futuro)</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bool</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false</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datetime</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1970-01-01T00:00:00.000000000Z</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char</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'\0'</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string</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list</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set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map</w:t>
            </w:r>
          </w:p>
        </w:tc>
        <w:tc>
          <w:tcPr>
            <w:tcW w:w="3945" w:type="dxa"/>
            <w:tcBorders>
              <w:top w:val="nil"/>
            </w:tcBorders>
          </w:tcPr>
          <w:p>
            <w:pPr>
              <w:pStyle w:val="Normal"/>
              <w:widowControl/>
              <w:suppressAutoHyphens w:val="true"/>
              <w:spacing w:before="0" w:after="0"/>
              <w:contextualSpacing/>
              <w:jc w:val="both"/>
              <w:rPr>
                <w:rFonts w:eastAsia="Aptos"/>
              </w:rPr>
            </w:pPr>
            <w:r>
              <w:rPr>
                <w:rStyle w:val="Cdigo-fonteuser"/>
                <w:kern w:val="2"/>
                <w:sz w:val="24"/>
                <w:szCs w:val="24"/>
                <w:lang w:val="pt-BR" w:eastAsia="en-US" w:bidi="ar-SA"/>
              </w:rPr>
              <w:t>{}</w:t>
            </w:r>
            <w:r>
              <w:rPr>
                <w:rFonts w:eastAsia="Aptos" w:cs="Arial"/>
                <w:kern w:val="2"/>
                <w:sz w:val="24"/>
                <w:szCs w:val="24"/>
                <w:lang w:val="pt-BR" w:eastAsia="en-US" w:bidi="ar-SA"/>
              </w:rPr>
              <w:t xml:space="preserve"> ou { key : Type }</w:t>
            </w:r>
          </w:p>
        </w:tc>
      </w:tr>
      <w:tr>
        <w:trPr/>
        <w:tc>
          <w:tcPr>
            <w:tcW w:w="2055"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tensor</w:t>
            </w:r>
          </w:p>
        </w:tc>
        <w:tc>
          <w:tcPr>
            <w:tcW w:w="3945" w:type="dxa"/>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 N, M, ... ] “zerados”</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data</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struct</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conforme o tipo do construtor</w:t>
            </w:r>
          </w:p>
        </w:tc>
      </w:tr>
      <w:tr>
        <w:trPr/>
        <w:tc>
          <w:tcPr>
            <w:tcW w:w="2055"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b/>
                <w:bCs/>
                <w:sz w:val="24"/>
              </w:rPr>
              <w:t>enum</w:t>
            </w:r>
          </w:p>
        </w:tc>
        <w:tc>
          <w:tcPr>
            <w:tcW w:w="3945" w:type="dxa"/>
            <w:tcBorders>
              <w:top w:val="nil"/>
            </w:tcBorders>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conforme o tipo do construtor</w:t>
            </w:r>
          </w:p>
        </w:tc>
      </w:tr>
    </w:tbl>
    <w:p>
      <w:pPr>
        <w:pStyle w:val="Normal"/>
        <w:spacing w:lineRule="auto" w:line="276" w:before="0" w:after="0"/>
        <w:contextualSpacing/>
        <w:jc w:val="both"/>
        <w:rPr/>
      </w:pPr>
      <w:r>
        <w:rPr/>
      </w:r>
    </w:p>
    <w:p>
      <w:pPr>
        <w:pStyle w:val="Normal"/>
        <w:widowControl/>
        <w:suppressAutoHyphens w:val="true"/>
        <w:bidi w:val="0"/>
        <w:spacing w:lineRule="auto" w:line="276" w:before="0" w:after="0"/>
        <w:ind w:firstLine="567" w:left="0" w:right="0"/>
        <w:contextualSpacing/>
        <w:jc w:val="both"/>
        <w:rPr/>
      </w:pPr>
      <w:r>
        <w:rPr/>
        <w:t>Observe que um valor imutável (uma constante) não pode sofre variação de valor e portanto deve ser obrigatoriamente inicializada com o valor.</w:t>
      </w:r>
    </w:p>
    <w:p>
      <w:pPr>
        <w:pStyle w:val="Normal"/>
        <w:spacing w:lineRule="auto" w:line="276" w:before="0" w:after="0"/>
        <w:contextualSpacing/>
        <w:jc w:val="both"/>
        <w:rPr/>
      </w:pPr>
      <w:r>
        <w:rPr/>
      </w:r>
      <w:r>
        <w:br w:type="page"/>
      </w:r>
    </w:p>
    <w:p>
      <w:pPr>
        <w:pStyle w:val="Normal"/>
        <w:spacing w:lineRule="auto" w:line="276" w:before="0" w:after="0"/>
        <w:contextualSpacing/>
        <w:jc w:val="both"/>
        <w:rPr/>
      </w:pPr>
      <w:r>
        <w:rPr/>
        <mc:AlternateContent>
          <mc:Choice Requires="wps">
            <w:drawing>
              <wp:inline distT="0" distB="0" distL="0" distR="0">
                <wp:extent cx="5400040" cy="19050"/>
                <wp:effectExtent l="114300" t="0" r="114300" b="0"/>
                <wp:docPr id="19" name="Forma38"/>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lineRule="auto" w:line="276" w:before="0" w:after="0"/>
        <w:contextualSpacing/>
        <w:jc w:val="both"/>
        <w:rPr/>
      </w:pPr>
      <w:bookmarkStart w:id="161" w:name="__RefHeading___Toc8422_3056492648"/>
      <w:bookmarkStart w:id="162" w:name="_Toc230559748"/>
      <w:bookmarkStart w:id="163" w:name="_Toc229957293"/>
      <w:bookmarkEnd w:id="161"/>
      <w:r>
        <w:rPr>
          <w:rFonts w:cs="Arial" w:ascii="Arial" w:hAnsi="Arial"/>
        </w:rPr>
        <w:t>18 Promoção, Coerção e Broadcasting</w:t>
      </w:r>
      <w:bookmarkEnd w:id="162"/>
      <w:bookmarkEnd w:id="163"/>
    </w:p>
    <w:p>
      <w:pPr>
        <w:pStyle w:val="Normal"/>
        <w:ind w:firstLine="567"/>
        <w:jc w:val="both"/>
        <w:rPr/>
      </w:pPr>
      <w:r>
        <w:rPr/>
        <w:t xml:space="preserve">Na </w:t>
      </w:r>
      <w:r>
        <w:rPr>
          <w:b/>
          <w:bCs/>
        </w:rPr>
        <w:t>FLUX</w:t>
      </w:r>
      <w:r>
        <w:rPr/>
        <w:t xml:space="preserve">, o </w:t>
      </w:r>
      <w:r>
        <w:rPr>
          <w:b/>
          <w:bCs/>
          <w:i/>
          <w:iCs/>
        </w:rPr>
        <w:t>kernel</w:t>
      </w:r>
      <w:r>
        <w:rPr/>
        <w:t xml:space="preserve"> é estritamente neutro. Essas transformações de tipos seguem duas vias que podem ocorrer tanto no </w:t>
      </w:r>
      <w:r>
        <w:rPr>
          <w:b/>
          <w:bCs/>
        </w:rPr>
        <w:t>programa principal</w:t>
      </w:r>
      <w:r>
        <w:rPr/>
        <w:t xml:space="preserve"> quanto nos </w:t>
      </w:r>
      <w:r>
        <w:rPr>
          <w:b/>
          <w:bCs/>
          <w:i/>
          <w:iCs/>
        </w:rPr>
        <w:t>agent</w:t>
      </w:r>
      <w:r>
        <w:rPr/>
        <w:t>:</w:t>
      </w:r>
    </w:p>
    <w:p>
      <w:pPr>
        <w:pStyle w:val="Normal"/>
        <w:jc w:val="both"/>
        <w:rPr/>
      </w:pPr>
      <w:r>
        <w:rPr/>
      </w:r>
    </w:p>
    <w:p>
      <w:pPr>
        <w:pStyle w:val="Heading2"/>
        <w:jc w:val="both"/>
        <w:rPr>
          <w:rFonts w:ascii="Arial" w:hAnsi="Arial" w:cs="Arial"/>
        </w:rPr>
      </w:pPr>
      <w:bookmarkStart w:id="164" w:name="__RefHeading___Toc8424_3056492648"/>
      <w:bookmarkStart w:id="165" w:name="_Toc230559749"/>
      <w:bookmarkStart w:id="166" w:name="_Toc229957294"/>
      <w:bookmarkEnd w:id="164"/>
      <w:r>
        <w:rPr>
          <w:rFonts w:cs="Arial" w:ascii="Arial" w:hAnsi="Arial"/>
        </w:rPr>
        <w:t>18.1 Promoção Automática (Widening)</w:t>
      </w:r>
      <w:bookmarkEnd w:id="165"/>
      <w:bookmarkEnd w:id="166"/>
    </w:p>
    <w:p>
      <w:pPr>
        <w:pStyle w:val="Normal"/>
        <w:ind w:firstLine="567"/>
        <w:jc w:val="both"/>
        <w:rPr/>
      </w:pPr>
      <w:r>
        <w:rPr/>
        <w:t>Ocorre quando um tipo é transformado em outro de maior capacidade sem perda de dados.</w:t>
      </w:r>
    </w:p>
    <w:p>
      <w:pPr>
        <w:pStyle w:val="Normal"/>
        <w:jc w:val="both"/>
        <w:rPr/>
      </w:pPr>
      <w:r>
        <w:rPr/>
      </w:r>
    </w:p>
    <w:p>
      <w:pPr>
        <w:pStyle w:val="Heading2"/>
        <w:jc w:val="both"/>
        <w:rPr>
          <w:rFonts w:ascii="Arial" w:hAnsi="Arial" w:cs="Arial"/>
        </w:rPr>
      </w:pPr>
      <w:bookmarkStart w:id="167" w:name="__RefHeading___Toc8426_3056492648"/>
      <w:bookmarkStart w:id="168" w:name="_Toc230559750"/>
      <w:bookmarkStart w:id="169" w:name="_Toc229957295"/>
      <w:bookmarkEnd w:id="167"/>
      <w:r>
        <w:rPr>
          <w:rFonts w:cs="Arial" w:ascii="Arial" w:hAnsi="Arial"/>
        </w:rPr>
        <w:t>18.2 Coerção Explícita (Narrowing/Casting)</w:t>
      </w:r>
      <w:bookmarkEnd w:id="168"/>
      <w:bookmarkEnd w:id="169"/>
    </w:p>
    <w:p>
      <w:pPr>
        <w:pStyle w:val="Normal"/>
        <w:ind w:firstLine="567"/>
        <w:jc w:val="both"/>
        <w:rPr/>
      </w:pPr>
      <w:r>
        <w:rPr/>
        <w:t>Ocorre quando há risco de perda de precisão ou mudança de semântica. Deve ser invocada explicitamente pelo programador usando a keyword “as”.</w:t>
      </w:r>
    </w:p>
    <w:p>
      <w:pPr>
        <w:pStyle w:val="Normal"/>
        <w:jc w:val="both"/>
        <w:rPr/>
      </w:pPr>
      <w:r>
        <w:rPr/>
      </w:r>
    </w:p>
    <w:p>
      <w:pPr>
        <w:pStyle w:val="Heading2"/>
        <w:rPr/>
      </w:pPr>
      <w:bookmarkStart w:id="170" w:name="__RefHeading___Toc8428_3056492648"/>
      <w:bookmarkStart w:id="171" w:name="_Toc230559751"/>
      <w:bookmarkStart w:id="172" w:name="_Toc229957296"/>
      <w:bookmarkEnd w:id="170"/>
      <w:r>
        <w:rPr>
          <w:rFonts w:cs="Arial" w:ascii="Arial" w:hAnsi="Arial"/>
        </w:rPr>
        <w:t>18.3 Broadcasting</w:t>
      </w:r>
      <w:bookmarkEnd w:id="171"/>
      <w:bookmarkEnd w:id="172"/>
    </w:p>
    <w:p>
      <w:pPr>
        <w:pStyle w:val="Normal"/>
        <w:spacing w:lineRule="auto" w:line="276" w:before="0" w:after="0"/>
        <w:ind w:firstLine="567"/>
        <w:contextualSpacing/>
        <w:jc w:val="both"/>
        <w:rPr/>
      </w:pPr>
      <w:r>
        <w:rPr/>
        <w:t xml:space="preserve">O mecanismo de </w:t>
      </w:r>
      <w:r>
        <w:rPr>
          <w:i/>
          <w:iCs/>
        </w:rPr>
        <w:t>Broadcasting</w:t>
      </w:r>
      <w:r>
        <w:rPr/>
        <w:t xml:space="preserve"> (expansão dimensional automática de tensores) na </w:t>
      </w:r>
      <w:r>
        <w:rPr>
          <w:b/>
          <w:bCs/>
        </w:rPr>
        <w:t xml:space="preserve">FLUX </w:t>
      </w:r>
      <w:r>
        <w:rPr/>
        <w:t xml:space="preserve">é uma competência semântica exclusiva dos </w:t>
      </w:r>
      <w:r>
        <w:rPr>
          <w:i/>
          <w:iCs/>
        </w:rPr>
        <w:t>agents</w:t>
      </w:r>
      <w:r>
        <w:rPr/>
        <w:t xml:space="preserve">. Como o </w:t>
      </w:r>
      <w:r>
        <w:rPr>
          <w:i/>
          <w:iCs/>
        </w:rPr>
        <w:t>kernel</w:t>
      </w:r>
      <w:r>
        <w:rPr/>
        <w:t xml:space="preserve"> atua apenas no roteamento agnóstico do Grafo de Dependência de Dados, a inteligência algébrica para alinhar matrizes com </w:t>
      </w:r>
      <w:r>
        <w:rPr>
          <w:i/>
          <w:iCs/>
        </w:rPr>
        <w:t>shapes</w:t>
      </w:r>
      <w:r>
        <w:rPr/>
        <w:t xml:space="preserve"> distintos é delegada inteiramente ao motor de contexto da sub-linguagem. Quando o </w:t>
      </w:r>
      <w:r>
        <w:rPr>
          <w:i/>
          <w:iCs/>
        </w:rPr>
        <w:t>agent</w:t>
      </w:r>
      <w:r>
        <w:rPr/>
        <w:t xml:space="preserve"> intercepta os tensores no fluxo, ele resolve o </w:t>
      </w:r>
      <w:r>
        <w:rPr>
          <w:i/>
          <w:iCs/>
        </w:rPr>
        <w:t>broadcasting</w:t>
      </w:r>
      <w:r>
        <w:rPr/>
        <w:t xml:space="preserve"> executando duas fases internas de </w:t>
      </w:r>
      <w:r>
        <w:rPr>
          <w:i/>
          <w:iCs/>
        </w:rPr>
        <w:t>lowering</w:t>
      </w:r>
      <w:r>
        <w:rPr/>
        <w:t xml:space="preserve"> de forma acoplada:</w:t>
      </w:r>
    </w:p>
    <w:p>
      <w:pPr>
        <w:pStyle w:val="Normal"/>
        <w:numPr>
          <w:ilvl w:val="0"/>
          <w:numId w:val="19"/>
        </w:numPr>
        <w:spacing w:lineRule="auto" w:line="276" w:before="0" w:after="0"/>
        <w:contextualSpacing/>
        <w:jc w:val="both"/>
        <w:rPr/>
      </w:pPr>
      <w:r>
        <w:rPr>
          <w:b/>
          <w:bCs/>
        </w:rPr>
        <w:t>Expansão Lógica (</w:t>
      </w:r>
      <w:r>
        <w:rPr>
          <w:b/>
          <w:bCs/>
          <w:i/>
          <w:iCs/>
        </w:rPr>
        <w:t>Zero-Copy Expansion</w:t>
      </w:r>
      <w:r>
        <w:rPr>
          <w:b/>
          <w:bCs/>
        </w:rPr>
        <w:t>):</w:t>
      </w:r>
      <w:r>
        <w:rPr/>
        <w:t xml:space="preserve"> O analisador semântico do </w:t>
      </w:r>
      <w:r>
        <w:rPr>
          <w:i/>
          <w:iCs/>
        </w:rPr>
        <w:t>agent</w:t>
      </w:r>
      <w:r>
        <w:rPr/>
        <w:t xml:space="preserve"> valida a compatibilidade dimensional (</w:t>
      </w:r>
      <w:r>
        <w:rPr>
          <w:i/>
          <w:iCs/>
        </w:rPr>
        <w:t>Shape Matching</w:t>
      </w:r>
      <w:r>
        <w:rPr/>
        <w:t xml:space="preserve">) e projeta virtualmente a expansão matemática dos tensores de menor grau. Ele gera o grafo de execução dimensional internamente, garantindo o alinhamento matricial sem realizar qualquer duplicação real dos dados na memória física. </w:t>
      </w:r>
    </w:p>
    <w:p>
      <w:pPr>
        <w:pStyle w:val="Normal"/>
        <w:numPr>
          <w:ilvl w:val="0"/>
          <w:numId w:val="19"/>
        </w:numPr>
        <w:spacing w:lineRule="auto" w:line="276" w:before="0" w:after="0"/>
        <w:contextualSpacing/>
        <w:jc w:val="both"/>
        <w:rPr/>
      </w:pPr>
      <w:r>
        <w:rPr>
          <w:b/>
          <w:bCs/>
        </w:rPr>
        <w:t>Despacho Físico (</w:t>
      </w:r>
      <w:r>
        <w:rPr>
          <w:b/>
          <w:bCs/>
          <w:i/>
          <w:iCs/>
        </w:rPr>
        <w:t>Hardware Vectorization</w:t>
      </w:r>
      <w:r>
        <w:rPr>
          <w:b/>
          <w:bCs/>
        </w:rPr>
        <w:t>):</w:t>
      </w:r>
      <w:r>
        <w:rPr/>
        <w:t xml:space="preserve"> Imediatamente após a projeção matemática, o </w:t>
      </w:r>
      <w:r>
        <w:rPr>
          <w:i/>
          <w:iCs/>
        </w:rPr>
        <w:t>agent</w:t>
      </w:r>
      <w:r>
        <w:rPr/>
        <w:t xml:space="preserve"> traduz essa expansão virtual em instruções nativas de processamento de alto desempenho. Ele mapeia a operação iterativa diretamente para o </w:t>
      </w:r>
      <w:r>
        <w:rPr>
          <w:i/>
          <w:iCs/>
        </w:rPr>
        <w:t>backend</w:t>
      </w:r>
      <w:r>
        <w:rPr/>
        <w:t xml:space="preserve"> adequado, injetando operações de vetorização estrita (SIMD/AVX) na CPU, mapeamento massivo de laços em arquiteturas </w:t>
      </w:r>
      <w:r>
        <w:rPr>
          <w:i/>
          <w:iCs/>
        </w:rPr>
        <w:t>GPU</w:t>
      </w:r>
      <w:r>
        <w:rPr/>
        <w:t xml:space="preserve"> (CUDA/OpenCL) ou despachando para blocos otimizados de bibliotecas externas (MKL/BLAS).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before="0" w:after="0"/>
        <w:contextualSpacing/>
        <w:jc w:val="both"/>
        <w:rPr/>
      </w:pPr>
      <w:r>
        <w:rPr/>
        <mc:AlternateContent>
          <mc:Choice Requires="wps">
            <w:drawing>
              <wp:inline distT="0" distB="0" distL="0" distR="0">
                <wp:extent cx="5400040" cy="19050"/>
                <wp:effectExtent l="114300" t="0" r="114300" b="0"/>
                <wp:docPr id="20" name="Forma4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before="0" w:after="0"/>
        <w:contextualSpacing/>
        <w:jc w:val="both"/>
        <w:rPr/>
      </w:pPr>
      <w:bookmarkStart w:id="173" w:name="__RefHeading___Toc8430_3056492648"/>
      <w:bookmarkStart w:id="174" w:name="_Toc230559752"/>
      <w:bookmarkEnd w:id="173"/>
      <w:r>
        <w:rPr>
          <w:rFonts w:cs="Arial" w:ascii="Arial" w:hAnsi="Arial"/>
          <w:b/>
          <w:bCs/>
        </w:rPr>
        <w:t>19</w:t>
      </w:r>
      <w:bookmarkStart w:id="175" w:name="_Toc229957231"/>
      <w:r>
        <w:rPr>
          <w:rFonts w:cs="Arial" w:ascii="Arial" w:hAnsi="Arial"/>
          <w:b/>
          <w:bCs/>
        </w:rPr>
        <w:t xml:space="preserve"> Keywords da Linguagem</w:t>
      </w:r>
      <w:bookmarkEnd w:id="174"/>
      <w:bookmarkEnd w:id="175"/>
    </w:p>
    <w:p>
      <w:pPr>
        <w:pStyle w:val="Normal"/>
        <w:spacing w:lineRule="auto" w:line="276" w:before="0" w:after="0"/>
        <w:ind w:firstLine="567"/>
        <w:contextualSpacing/>
        <w:jc w:val="both"/>
        <w:rPr/>
      </w:pPr>
      <w:r>
        <w:rPr/>
        <w:t xml:space="preserve">A gramática da </w:t>
      </w:r>
      <w:r>
        <w:rPr>
          <w:b/>
          <w:bCs/>
        </w:rPr>
        <w:t xml:space="preserve">FLUX </w:t>
      </w:r>
      <w:r>
        <w:rPr/>
        <w:t>foi projetada sob o princípio do minimalismo léxico. O compilador reserva um conjunto estrito e reduzido de palavras-chave (</w:t>
      </w:r>
      <w:r>
        <w:rPr>
          <w:i/>
          <w:iCs/>
        </w:rPr>
        <w:t>keywords</w:t>
      </w:r>
      <w:r>
        <w:rPr/>
        <w:t>) para governar a infraestrutura, evitando a poluição visual e reduzindo a sobrecarga no analisador sintático (</w:t>
      </w:r>
      <w:r>
        <w:rPr>
          <w:i/>
          <w:iCs/>
        </w:rPr>
        <w:t>parser</w:t>
      </w:r>
      <w:r>
        <w:rPr/>
        <w:t xml:space="preserve">). </w:t>
      </w:r>
    </w:p>
    <w:p>
      <w:pPr>
        <w:pStyle w:val="Normal"/>
        <w:spacing w:lineRule="auto" w:line="276" w:before="0" w:after="0"/>
        <w:ind w:firstLine="567"/>
        <w:contextualSpacing/>
        <w:jc w:val="both"/>
        <w:rPr/>
      </w:pPr>
      <w:r>
        <w:rPr/>
        <w:t>As palavras-chave estão agrupadas semanticamente em oito domínios arquiteturais: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2"/>
        <w:spacing w:lineRule="auto" w:line="276" w:before="0" w:after="0"/>
        <w:contextualSpacing/>
        <w:rPr/>
      </w:pPr>
      <w:bookmarkStart w:id="176" w:name="__RefHeading___Toc8432_3056492648"/>
      <w:bookmarkStart w:id="177" w:name="_Toc230559753"/>
      <w:bookmarkEnd w:id="176"/>
      <w:r>
        <w:rPr/>
        <w:t>19</w:t>
      </w:r>
      <w:bookmarkStart w:id="178" w:name="_Toc229957232"/>
      <w:r>
        <w:rPr/>
        <w:t>.1 Apresentação Geral dos Domínios Arquiteturais</w:t>
      </w:r>
      <w:bookmarkEnd w:id="177"/>
      <w:bookmarkEnd w:id="178"/>
    </w:p>
    <w:p>
      <w:pPr>
        <w:pStyle w:val="Normal"/>
        <w:spacing w:lineRule="auto" w:line="276" w:before="0" w:after="0"/>
        <w:ind w:firstLine="567"/>
        <w:contextualSpacing/>
        <w:jc w:val="both"/>
        <w:rPr/>
      </w:pPr>
      <w:r>
        <w:rPr/>
        <w:t xml:space="preserve">A seguir é apresentada uma visão geral das </w:t>
      </w:r>
      <w:r>
        <w:rPr>
          <w:i/>
          <w:iCs/>
        </w:rPr>
        <w:t>keywords</w:t>
      </w:r>
      <w:r>
        <w:rPr/>
        <w:t xml:space="preserve"> conforme os domínios arquiteturais.</w:t>
      </w:r>
    </w:p>
    <w:p>
      <w:pPr>
        <w:pStyle w:val="Normal"/>
        <w:spacing w:lineRule="auto" w:line="276" w:before="0" w:after="0"/>
        <w:contextualSpacing/>
        <w:rPr>
          <w:b/>
          <w:bCs/>
        </w:rPr>
      </w:pPr>
      <w:r>
        <w:rPr>
          <w:b/>
          <w:bCs/>
        </w:rPr>
      </w:r>
    </w:p>
    <w:p>
      <w:pPr>
        <w:pStyle w:val="Normal"/>
        <w:spacing w:lineRule="auto" w:line="276" w:before="0" w:after="0"/>
        <w:contextualSpacing/>
        <w:rPr>
          <w:b/>
          <w:bCs/>
        </w:rPr>
      </w:pPr>
      <w:r>
        <w:rPr>
          <w:b/>
          <w:bCs/>
        </w:rPr>
      </w:r>
    </w:p>
    <w:p>
      <w:pPr>
        <w:pStyle w:val="Heading3"/>
        <w:spacing w:lineRule="auto" w:line="276" w:before="0" w:after="0"/>
        <w:contextualSpacing/>
        <w:rPr/>
      </w:pPr>
      <w:bookmarkStart w:id="179" w:name="__RefHeading___Toc8434_3056492648"/>
      <w:bookmarkStart w:id="180" w:name="_Toc230559754"/>
      <w:bookmarkEnd w:id="179"/>
      <w:r>
        <w:rPr>
          <w:rFonts w:cs="Arial" w:ascii="Arial" w:hAnsi="Arial"/>
        </w:rPr>
        <w:t>19</w:t>
      </w:r>
      <w:bookmarkStart w:id="181" w:name="_Toc229957233"/>
      <w:r>
        <w:rPr>
          <w:rFonts w:cs="Arial" w:ascii="Arial" w:hAnsi="Arial"/>
        </w:rPr>
        <w:t>.1.1 Orquestração Global e Metaprogramação</w:t>
      </w:r>
      <w:bookmarkEnd w:id="180"/>
      <w:bookmarkEnd w:id="181"/>
    </w:p>
    <w:p>
      <w:pPr>
        <w:pStyle w:val="Normal"/>
        <w:spacing w:lineRule="auto" w:line="276" w:before="0" w:after="0"/>
        <w:ind w:firstLine="567"/>
        <w:contextualSpacing/>
        <w:jc w:val="both"/>
        <w:rPr/>
      </w:pPr>
      <w:r>
        <w:rPr/>
        <w:t>Governam a estrutura de alto nível do programa e a resolução em tempo de compilação.</w:t>
      </w:r>
    </w:p>
    <w:p>
      <w:pPr>
        <w:pStyle w:val="Normal"/>
        <w:spacing w:lineRule="auto" w:line="276" w:before="0" w:after="0"/>
        <w:contextualSpacing/>
        <w:jc w:val="both"/>
        <w:rPr/>
      </w:pPr>
      <w:r>
        <w:rPr/>
      </w:r>
    </w:p>
    <w:tbl>
      <w:tblPr>
        <w:tblStyle w:val="Tabelacomgrade"/>
        <w:tblW w:w="850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437"/>
        <w:gridCol w:w="7037"/>
        <w:gridCol w:w="30"/>
      </w:tblGrid>
      <w:tr>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Keyword</w:t>
            </w:r>
          </w:p>
        </w:tc>
        <w:tc>
          <w:tcPr>
            <w:tcW w:w="7067" w:type="dxa"/>
            <w:gridSpan w:val="2"/>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use</w:t>
            </w:r>
          </w:p>
        </w:tc>
        <w:tc>
          <w:tcPr>
            <w:tcW w:w="7067" w:type="dxa"/>
            <w:gridSpan w:val="2"/>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Diretiva de compilação para importar e vincular agentes do arquivo “.fdsl” ao escopo léxico local.</w:t>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program</w:t>
            </w:r>
          </w:p>
        </w:tc>
        <w:tc>
          <w:tcPr>
            <w:tcW w:w="7067" w:type="dxa"/>
            <w:gridSpan w:val="2"/>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Define o ponto de entrada principal (entry point) e o escopo do grafo de execução global, é exclusiva do arquivo “.flux”.</w:t>
            </w:r>
          </w:p>
        </w:tc>
      </w:tr>
      <w:tr>
        <w:trPr>
          <w:trHeight w:val="1134" w:hRule="atLeast"/>
        </w:trPr>
        <w:tc>
          <w:tcPr>
            <w:tcW w:w="1437"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agent</w:t>
            </w:r>
          </w:p>
        </w:tc>
        <w:tc>
          <w:tcPr>
            <w:tcW w:w="7067" w:type="dxa"/>
            <w:gridSpan w:val="2"/>
            <w:tcBorders>
              <w:top w:val="nil"/>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Declara o escopo isolado de uma sub-linguagem especializada (DSL), é exclusiva do arquivo .fdsl.</w:t>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op</w:t>
            </w:r>
          </w:p>
        </w:tc>
        <w:tc>
          <w:tcPr>
            <w:tcW w:w="7037"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Declara uma determinada operação no domínio semântico de um domínio específico de linguagem (DSL).</w:t>
            </w:r>
          </w:p>
        </w:tc>
        <w:tc>
          <w:tcPr>
            <w:tcW w:w="30" w:type="dxa"/>
            <w:tcBorders>
              <w:top w:val="nil"/>
              <w:left w:val="nil"/>
              <w:bottom w:val="nil"/>
              <w:right w:val="nil"/>
            </w:tcBorders>
          </w:tcPr>
          <w:p>
            <w:pPr>
              <w:pStyle w:val="Normal"/>
              <w:widowControl/>
              <w:suppressAutoHyphens w:val="true"/>
              <w:spacing w:lineRule="atLeast" w:line="0" w:before="0" w:after="0"/>
              <w:jc w:val="left"/>
              <w:rPr>
                <w:sz w:val="2"/>
              </w:rPr>
            </w:pPr>
            <w:r>
              <w:rPr>
                <w:sz w:val="2"/>
              </w:rPr>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 ... }</w:t>
            </w:r>
          </w:p>
        </w:tc>
        <w:tc>
          <w:tcPr>
            <w:tcW w:w="7037"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Delimitador de bloco léxico local (determina o tempo de vida (liveness) de identificadores).</w:t>
            </w:r>
          </w:p>
        </w:tc>
        <w:tc>
          <w:tcPr>
            <w:tcW w:w="30" w:type="dxa"/>
            <w:tcBorders>
              <w:top w:val="nil"/>
              <w:left w:val="nil"/>
              <w:bottom w:val="nil"/>
              <w:right w:val="nil"/>
            </w:tcBorders>
          </w:tcPr>
          <w:p>
            <w:pPr>
              <w:pStyle w:val="Normal"/>
              <w:widowControl/>
              <w:suppressAutoHyphens w:val="true"/>
              <w:spacing w:lineRule="atLeast" w:line="0" w:before="0" w:after="0"/>
              <w:jc w:val="left"/>
              <w:rPr>
                <w:sz w:val="2"/>
              </w:rPr>
            </w:pPr>
            <w:r>
              <w:rPr>
                <w:sz w:val="2"/>
              </w:rPr>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comptime</w:t>
            </w:r>
          </w:p>
        </w:tc>
        <w:tc>
          <w:tcPr>
            <w:tcW w:w="7067" w:type="dxa"/>
            <w:gridSpan w:val="2"/>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Força a avaliação de expressões ou blocos inteiros em tempo de compilação, gerando literais.</w:t>
            </w:r>
          </w:p>
        </w:tc>
      </w:tr>
      <w:tr>
        <w:trPr>
          <w:trHeight w:val="1134" w:hRule="atLeast"/>
        </w:trPr>
        <w:tc>
          <w:tcPr>
            <w:tcW w:w="1437" w:type="dxa"/>
            <w:tcBorders/>
            <w:shd w:color="auto" w:fill="CAEDFB" w:themeFill="accent4" w:themeFillTint="33" w:val="clear"/>
            <w:vAlign w:val="center"/>
          </w:tcPr>
          <w:p>
            <w:pPr>
              <w:pStyle w:val="Normal"/>
              <w:widowControl/>
              <w:suppressAutoHyphens w:val="true"/>
              <w:spacing w:before="0" w:after="0"/>
              <w:contextualSpacing/>
              <w:jc w:val="center"/>
              <w:rPr>
                <w:rFonts w:eastAsia="Aptos"/>
              </w:rPr>
            </w:pPr>
            <w:r>
              <w:rPr>
                <w:rFonts w:eastAsia="Aptos" w:cs="Arial"/>
                <w:b/>
                <w:bCs/>
                <w:kern w:val="2"/>
                <w:sz w:val="24"/>
                <w:szCs w:val="24"/>
                <w:lang w:val="pt-BR" w:eastAsia="en-US" w:bidi="ar-SA"/>
              </w:rPr>
              <w:t>macro</w:t>
            </w:r>
          </w:p>
        </w:tc>
        <w:tc>
          <w:tcPr>
            <w:tcW w:w="7067" w:type="dxa"/>
            <w:gridSpan w:val="2"/>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Define regras de transformação sintática e geração de código em tempo de compilação.</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82" w:name="__RefHeading___Toc8436_3056492648"/>
      <w:bookmarkStart w:id="183" w:name="_Toc230559755"/>
      <w:bookmarkEnd w:id="182"/>
      <w:r>
        <w:rPr>
          <w:rFonts w:cs="Arial" w:ascii="Arial" w:hAnsi="Arial"/>
        </w:rPr>
        <w:t>19</w:t>
      </w:r>
      <w:bookmarkStart w:id="184" w:name="_Toc229957239"/>
      <w:r>
        <w:rPr>
          <w:rFonts w:cs="Arial" w:ascii="Arial" w:hAnsi="Arial"/>
        </w:rPr>
        <w:t>.1.2 Entrada/Saída (I/O) e Sensores de Estado</w:t>
      </w:r>
      <w:bookmarkEnd w:id="183"/>
      <w:bookmarkEnd w:id="184"/>
    </w:p>
    <w:p>
      <w:pPr>
        <w:pStyle w:val="Normal"/>
        <w:spacing w:lineRule="auto" w:line="276" w:before="0" w:after="0"/>
        <w:ind w:firstLine="567"/>
        <w:contextualSpacing/>
        <w:jc w:val="both"/>
        <w:rPr/>
      </w:pPr>
      <w:r>
        <w:rPr/>
        <w:t>Primitivas de interface externa e telemetria nativa.</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print</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Escrita de fluxos de texto e dados no descritor de saída padrão (stdout).</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input</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Captura de fluxos de dados a partir do descritor de entrada padrão (stdin).</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spy</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Sensor não-bloqueante acoplado ao Runtime para telemetria de estado e JIT profiling.</w:t>
            </w:r>
          </w:p>
          <w:p>
            <w:pPr>
              <w:pStyle w:val="Normal"/>
              <w:widowControl/>
              <w:suppressAutoHyphens w:val="true"/>
              <w:spacing w:before="0" w:after="0"/>
              <w:contextualSpacing/>
              <w:jc w:val="left"/>
              <w:rPr>
                <w:rFonts w:eastAsia="Aptos"/>
                <w:b/>
                <w:bCs/>
              </w:rPr>
            </w:pPr>
            <w:r>
              <w:rPr>
                <w:rFonts w:eastAsia="Aptos"/>
                <w:b/>
                <w:bCs/>
                <w:sz w:val="24"/>
              </w:rPr>
            </w:r>
          </w:p>
          <w:p>
            <w:pPr>
              <w:pStyle w:val="Normal"/>
              <w:widowControl/>
              <w:suppressAutoHyphens w:val="true"/>
              <w:spacing w:before="0" w:after="0"/>
              <w:contextualSpacing/>
              <w:jc w:val="left"/>
              <w:rPr>
                <w:rFonts w:eastAsia="Aptos"/>
                <w:b/>
                <w:bCs/>
              </w:rPr>
            </w:pPr>
            <w:r>
              <w:rPr>
                <w:rFonts w:eastAsia="Aptos"/>
                <w:b/>
                <w:bCs/>
                <w:sz w:val="24"/>
              </w:rPr>
            </w:r>
          </w:p>
          <w:p>
            <w:pPr>
              <w:pStyle w:val="Normal"/>
              <w:widowControl/>
              <w:suppressAutoHyphens w:val="true"/>
              <w:spacing w:before="0" w:after="0"/>
              <w:contextualSpacing/>
              <w:jc w:val="left"/>
              <w:rPr>
                <w:rFonts w:eastAsia="Aptos"/>
                <w:b/>
                <w:bCs/>
              </w:rPr>
            </w:pPr>
            <w:r>
              <w:rPr>
                <w:rFonts w:eastAsia="Aptos" w:cs="Arial"/>
                <w:b/>
                <w:bCs/>
                <w:kern w:val="2"/>
                <w:sz w:val="24"/>
                <w:szCs w:val="24"/>
                <w:lang w:val="pt-BR" w:eastAsia="en-US" w:bidi="ar-SA"/>
              </w:rPr>
              <w:t>Model of use:</w:t>
            </w:r>
          </w:p>
          <w:p>
            <w:pPr>
              <w:pStyle w:val="Normal"/>
              <w:widowControl/>
              <w:suppressAutoHyphens w:val="true"/>
              <w:spacing w:lineRule="auto" w:line="276" w:before="0" w:after="0"/>
              <w:contextualSpacing/>
              <w:jc w:val="both"/>
              <w:rPr>
                <w:rFonts w:eastAsia="Aptos"/>
                <w:b/>
                <w:bCs/>
                <w:sz w:val="20"/>
                <w:szCs w:val="20"/>
              </w:rPr>
            </w:pPr>
            <w:r>
              <w:rPr>
                <w:rFonts w:eastAsia="Aptos" w:cs="Arial"/>
                <w:b/>
                <w:bCs/>
                <w:kern w:val="2"/>
                <w:sz w:val="20"/>
                <w:szCs w:val="20"/>
                <w:lang w:val="pt-BR" w:eastAsia="en-US" w:bidi="ar-SA"/>
              </w:rPr>
              <w:t>1. Espiando um Operando Específico</w:t>
            </w:r>
          </w:p>
          <w:p>
            <w:pPr>
              <w:pStyle w:val="Normal"/>
              <w:widowControl/>
              <w:suppressAutoHyphens w:val="true"/>
              <w:spacing w:lineRule="auto" w:line="276" w:before="0" w:after="0"/>
              <w:contextualSpacing/>
              <w:jc w:val="both"/>
              <w:rPr>
                <w:rFonts w:eastAsia="Aptos"/>
                <w:b/>
                <w:bCs/>
                <w:sz w:val="20"/>
                <w:szCs w:val="20"/>
              </w:rPr>
            </w:pPr>
            <w:r>
              <w:rPr>
                <w:rFonts w:eastAsia="Aptos" w:cs="Arial"/>
                <w:kern w:val="2"/>
                <w:sz w:val="20"/>
                <w:szCs w:val="20"/>
                <w:lang w:val="pt-BR" w:eastAsia="en-US" w:bidi="ar-SA"/>
              </w:rPr>
              <w:t>sum = spy(a) + b</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[SPY TELEMETRY - Origem: AST_IDENTIFIER ('a')]</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DADOS: Tensor[4096, 4096] | Amostra: [0.001, 0.002 ...]</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TIPAGEM: FP8_E4M3</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HARDWARE DISPATCH: Leitura de VRAM (Memória da GPU)</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MEMÓRIA: Liveness Out-Degree = 1</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 </w:t>
            </w:r>
            <w:r>
              <w:rPr>
                <w:rFonts w:eastAsia="Aptos" w:cs="Arial"/>
                <w:kern w:val="2"/>
                <w:sz w:val="20"/>
                <w:szCs w:val="20"/>
                <w:lang w:val="pt-BR" w:eastAsia="en-US" w:bidi="ar-SA"/>
              </w:rPr>
              <w:t>Ação Pendente: Memória de 'a' será preservada após a soma (regra de imutabilidade).</w:t>
            </w:r>
          </w:p>
          <w:p>
            <w:pPr>
              <w:pStyle w:val="Normal"/>
              <w:widowControl/>
              <w:suppressAutoHyphens w:val="true"/>
              <w:spacing w:lineRule="auto" w:line="276" w:before="0" w:after="0"/>
              <w:contextualSpacing/>
              <w:jc w:val="both"/>
              <w:rPr>
                <w:rFonts w:eastAsia="Aptos"/>
                <w:sz w:val="20"/>
                <w:szCs w:val="20"/>
              </w:rPr>
            </w:pPr>
            <w:r>
              <w:rPr>
                <w:rFonts w:eastAsia="Aptos"/>
                <w:sz w:val="20"/>
                <w:szCs w:val="20"/>
              </w:rPr>
            </w:r>
          </w:p>
          <w:p>
            <w:pPr>
              <w:pStyle w:val="Normal"/>
              <w:widowControl/>
              <w:suppressAutoHyphens w:val="true"/>
              <w:spacing w:lineRule="auto" w:line="276" w:before="0" w:after="0"/>
              <w:contextualSpacing/>
              <w:jc w:val="both"/>
              <w:rPr>
                <w:rFonts w:eastAsia="Aptos"/>
                <w:b/>
                <w:bCs/>
                <w:sz w:val="20"/>
                <w:szCs w:val="20"/>
              </w:rPr>
            </w:pPr>
            <w:r>
              <w:rPr>
                <w:rFonts w:eastAsia="Aptos" w:cs="Arial"/>
                <w:b/>
                <w:bCs/>
                <w:kern w:val="2"/>
                <w:sz w:val="20"/>
                <w:szCs w:val="20"/>
                <w:lang w:val="pt-BR" w:eastAsia="en-US" w:bidi="ar-SA"/>
              </w:rPr>
              <w:t>2. Espiando o Resultado da Operação</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sum = spy(a + b)</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[SPY TELEMETRY - Origem: AST_ADD]</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DADOS: 15.5 | Rank 0 (Escalar)</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TIPAGEM: Float</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 </w:t>
            </w:r>
            <w:r>
              <w:rPr>
                <w:rFonts w:eastAsia="Aptos" w:cs="Arial"/>
                <w:kern w:val="2"/>
                <w:sz w:val="20"/>
                <w:szCs w:val="20"/>
                <w:lang w:val="pt-BR" w:eastAsia="en-US" w:bidi="ar-SA"/>
              </w:rPr>
              <w:t>Aviso de Operação: Promoção Automática (Widening) detetada.</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Arial"/>
                <w:kern w:val="2"/>
                <w:sz w:val="20"/>
                <w:szCs w:val="20"/>
                <w:lang w:val="pt-BR" w:eastAsia="en-US" w:bidi="ar-SA"/>
              </w:rPr>
              <w:t>O operando 'a' (Int) foi promovido para Float antes da soma.</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HARDWARE DISPATCH: CPU (ALU Escalar padrão)</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LATÊNCIA: &lt; 0.1ms (Eager Evaluation)</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MEMÓRIA: Liveness = Ativo | Buffer alocado diretamente na Stack para a variável 'sum'</w:t>
            </w:r>
          </w:p>
          <w:p>
            <w:pPr>
              <w:pStyle w:val="Normal"/>
              <w:widowControl/>
              <w:suppressAutoHyphens w:val="true"/>
              <w:spacing w:lineRule="auto" w:line="276" w:before="0" w:after="0"/>
              <w:contextualSpacing/>
              <w:jc w:val="both"/>
              <w:rPr>
                <w:rFonts w:eastAsia="Aptos"/>
                <w:sz w:val="20"/>
                <w:szCs w:val="20"/>
              </w:rPr>
            </w:pPr>
            <w:r>
              <w:rPr>
                <w:rFonts w:eastAsia="Aptos"/>
                <w:sz w:val="20"/>
                <w:szCs w:val="20"/>
              </w:rPr>
            </w:r>
          </w:p>
          <w:p>
            <w:pPr>
              <w:pStyle w:val="Normal"/>
              <w:widowControl/>
              <w:suppressAutoHyphens w:val="true"/>
              <w:spacing w:lineRule="auto" w:line="276" w:before="0" w:after="0"/>
              <w:contextualSpacing/>
              <w:jc w:val="both"/>
              <w:rPr>
                <w:rFonts w:eastAsia="Aptos"/>
                <w:sz w:val="20"/>
                <w:szCs w:val="20"/>
              </w:rPr>
            </w:pPr>
            <w:r>
              <w:rPr>
                <w:rFonts w:eastAsia="Aptos"/>
                <w:sz w:val="20"/>
                <w:szCs w:val="20"/>
              </w:rPr>
            </w:r>
          </w:p>
          <w:p>
            <w:pPr>
              <w:pStyle w:val="Normal"/>
              <w:widowControl/>
              <w:suppressAutoHyphens w:val="true"/>
              <w:spacing w:lineRule="auto" w:line="276" w:before="0" w:after="0"/>
              <w:contextualSpacing/>
              <w:jc w:val="both"/>
              <w:rPr>
                <w:rFonts w:eastAsia="Aptos"/>
                <w:b/>
                <w:bCs/>
                <w:sz w:val="20"/>
                <w:szCs w:val="20"/>
              </w:rPr>
            </w:pPr>
            <w:r>
              <w:rPr>
                <w:rFonts w:eastAsia="Aptos" w:cs="Arial"/>
                <w:b/>
                <w:bCs/>
                <w:kern w:val="2"/>
                <w:sz w:val="20"/>
                <w:szCs w:val="20"/>
                <w:lang w:val="pt-BR" w:eastAsia="en-US" w:bidi="ar-SA"/>
              </w:rPr>
              <w:t>3. Métricas de Topologia e Tempo de Vida (Liveness Analysis)</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dados --&gt; IaAgent::preverTendencia() --&gt; spy</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[SPY TELEMETRY - Origem: IaAgent::preverTendencia]</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DADOS: Tensor[1024, 64] | Rank 2 | Amostra: [0.015, -0.42, 1.2 ...]</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TIPAGEM: TF32_E8M10 (Coagido de entrada FP8_E4M3)</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HARDWARE DISPATCH: GPU NVIDIA | Target: CUDA TensorCores</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LATÊNCIA: 1.2ms (Avaliação: Lazy fundida com operação anterior)</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MEMÓRIA: Liveness Out-Degree = 0 | Ação: Memória VRAM marcada para Reciclagem Imediata</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BROADCASTING: Aplicado para coincidir pesos [1, 64] -&gt; [1024, 64]</w:t>
            </w:r>
          </w:p>
          <w:p>
            <w:pPr>
              <w:pStyle w:val="Normal"/>
              <w:widowControl/>
              <w:suppressAutoHyphens w:val="true"/>
              <w:spacing w:lineRule="auto" w:line="276" w:before="0" w:after="0"/>
              <w:contextualSpacing/>
              <w:jc w:val="both"/>
              <w:rPr>
                <w:rFonts w:eastAsia="Aptos"/>
                <w:sz w:val="20"/>
                <w:szCs w:val="20"/>
              </w:rPr>
            </w:pPr>
            <w:r>
              <w:rPr>
                <w:rFonts w:eastAsia="Aptos" w:cs="Arial"/>
                <w:kern w:val="2"/>
                <w:sz w:val="20"/>
                <w:szCs w:val="20"/>
                <w:lang w:val="pt-BR" w:eastAsia="en-US" w:bidi="ar-SA"/>
              </w:rPr>
              <w:t xml:space="preserve">└─ </w:t>
            </w:r>
            <w:r>
              <w:rPr>
                <w:rFonts w:eastAsia="Aptos" w:cs="Segoe UI Emoji" w:ascii="Segoe UI Emoji" w:hAnsi="Segoe UI Emoji"/>
                <w:kern w:val="2"/>
                <w:sz w:val="20"/>
                <w:szCs w:val="20"/>
                <w:lang w:val="pt-BR" w:eastAsia="en-US" w:bidi="ar-SA"/>
              </w:rPr>
              <w:t>🛡️</w:t>
            </w:r>
            <w:r>
              <w:rPr>
                <w:rFonts w:eastAsia="Aptos" w:cs="Arial"/>
                <w:kern w:val="2"/>
                <w:sz w:val="20"/>
                <w:szCs w:val="20"/>
                <w:lang w:val="pt-BR" w:eastAsia="en-US" w:bidi="ar-SA"/>
              </w:rPr>
              <w:t xml:space="preserve"> </w:t>
            </w:r>
            <w:r>
              <w:rPr>
                <w:rFonts w:eastAsia="Aptos" w:cs="Arial"/>
                <w:kern w:val="2"/>
                <w:sz w:val="20"/>
                <w:szCs w:val="20"/>
                <w:lang w:val="pt-BR" w:eastAsia="en-US" w:bidi="ar-SA"/>
              </w:rPr>
              <w:t>C-ABI: Pointer Offset Shifting (Base-1 para Base-0) aplicado com sucesso.</w:t>
            </w:r>
          </w:p>
          <w:p>
            <w:pPr>
              <w:pStyle w:val="Normal"/>
              <w:widowControl/>
              <w:suppressAutoHyphens w:val="true"/>
              <w:spacing w:lineRule="auto" w:line="276" w:before="0" w:after="0"/>
              <w:contextualSpacing/>
              <w:jc w:val="both"/>
              <w:rPr>
                <w:rFonts w:eastAsia="Aptos"/>
              </w:rPr>
            </w:pPr>
            <w:r>
              <w:rPr>
                <w:rFonts w:eastAsia="Aptos"/>
                <w:sz w:val="24"/>
              </w:rPr>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85" w:name="__RefHeading___Toc8438_3056492648"/>
      <w:bookmarkStart w:id="186" w:name="_Toc230559756"/>
      <w:bookmarkEnd w:id="185"/>
      <w:r>
        <w:rPr>
          <w:rFonts w:cs="Arial" w:ascii="Arial" w:hAnsi="Arial"/>
        </w:rPr>
        <w:t>19</w:t>
      </w:r>
      <w:bookmarkStart w:id="187" w:name="_Toc229957240"/>
      <w:r>
        <w:rPr>
          <w:rFonts w:cs="Arial" w:ascii="Arial" w:hAnsi="Arial"/>
        </w:rPr>
        <w:t>.1.3 Expressão e Álgebra Booleana e Literais</w:t>
      </w:r>
      <w:bookmarkEnd w:id="186"/>
      <w:bookmarkEnd w:id="187"/>
    </w:p>
    <w:p>
      <w:pPr>
        <w:pStyle w:val="Normal"/>
        <w:spacing w:lineRule="auto" w:line="276" w:before="0" w:after="0"/>
        <w:ind w:firstLine="567"/>
        <w:contextualSpacing/>
        <w:jc w:val="both"/>
        <w:rPr/>
      </w:pPr>
      <w:r>
        <w:rPr/>
        <w:t>Conectivos lógicos e empacotamento algébrico.</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Operador unário de propagação e desvio condicional de curto-circuito local para o gerenciamento de erros.</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nice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Construtor algébrico que encapsula um valor válido em um tipo de retorno composto.</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fail</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Construtor algébrico que encapsula metadados de erro em um tipo de retorno composto.</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and</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Conjunção lógica (avaliação com curto-circuito).</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or</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Disjunção lógica (avaliação com curto-circuito).</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not</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Inversão/Negação lógica unária.</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true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Literal booleano de estado lógico alto (1).</w:t>
            </w:r>
          </w:p>
        </w:tc>
      </w:tr>
      <w:tr>
        <w:trPr>
          <w:trHeight w:val="1134" w:hRule="atLeas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false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Literal booleano de estado lógico baixo (0).</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88" w:name="__RefHeading___Toc8440_3056492648"/>
      <w:bookmarkStart w:id="189" w:name="_Toc230559757"/>
      <w:bookmarkEnd w:id="188"/>
      <w:r>
        <w:rPr>
          <w:rFonts w:cs="Arial" w:ascii="Arial" w:hAnsi="Arial"/>
        </w:rPr>
        <w:t>19</w:t>
      </w:r>
      <w:bookmarkStart w:id="190" w:name="_Toc229957237"/>
      <w:r>
        <w:rPr>
          <w:rFonts w:cs="Arial" w:ascii="Arial" w:hAnsi="Arial"/>
        </w:rPr>
        <w:t>.1.4 Controle de Fluxo Imperativo</w:t>
      </w:r>
      <w:bookmarkEnd w:id="189"/>
      <w:bookmarkEnd w:id="190"/>
    </w:p>
    <w:p>
      <w:pPr>
        <w:pStyle w:val="Normal"/>
        <w:spacing w:lineRule="auto" w:line="276" w:before="0" w:after="0"/>
        <w:ind w:firstLine="567"/>
        <w:contextualSpacing/>
        <w:jc w:val="both"/>
        <w:rPr/>
      </w:pPr>
      <w:r>
        <w:rPr/>
        <w:t>Estruturas de ramificação e laços clássicos para lógicas internas.</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3"/>
        <w:gridCol w:w="7101"/>
      </w:tblGrid>
      <w:tr>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route</w:t>
            </w:r>
          </w:p>
        </w:tc>
        <w:tc>
          <w:tcPr>
            <w:tcW w:w="7101"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Inicializa o bloco de decisão condicional, avaliando expressões, tuplas ou n-uplas em ordem posicional, criando uma árvore de desvios lineares baseados no contexto injetado</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infinite</w:t>
            </w:r>
          </w:p>
        </w:tc>
        <w:tc>
          <w:tcPr>
            <w:tcW w:w="7101"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Executa repetições eternas, a saída pode ocorrer por comparações lógicas, contadores, intervalos ou baseadas em coleções (operador in)</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in</w:t>
            </w:r>
          </w:p>
        </w:tc>
        <w:tc>
          <w:tcPr>
            <w:tcW w:w="7101"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Operador de pertinência para iteração em coleções ou verificação de escopo de dados.</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break</w:t>
            </w:r>
          </w:p>
        </w:tc>
        <w:tc>
          <w:tcPr>
            <w:tcW w:w="7101"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Interrupção imediata e salto para fora do laço de repetição atual.</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continue</w:t>
            </w:r>
          </w:p>
        </w:tc>
        <w:tc>
          <w:tcPr>
            <w:tcW w:w="7101"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Aborta o ciclo atual do laço e força o salto imediato para a próxima iteração.</w:t>
            </w:r>
          </w:p>
        </w:tc>
      </w:tr>
      <w:tr>
        <w:trPr>
          <w:trHeight w:val="1134" w:hRule="exact"/>
        </w:trPr>
        <w:tc>
          <w:tcPr>
            <w:tcW w:w="139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emit</w:t>
            </w:r>
          </w:p>
        </w:tc>
        <w:tc>
          <w:tcPr>
            <w:tcW w:w="7101" w:type="dxa"/>
            <w:tcBorders/>
            <w:vAlign w:val="center"/>
          </w:tcPr>
          <w:p>
            <w:pPr>
              <w:pStyle w:val="Normal"/>
              <w:widowControl/>
              <w:suppressAutoHyphens w:val="true"/>
              <w:spacing w:before="0" w:after="0"/>
              <w:contextualSpacing/>
              <w:jc w:val="left"/>
              <w:rPr>
                <w:rFonts w:eastAsia="Aptos"/>
              </w:rPr>
            </w:pPr>
            <w:r>
              <w:rPr>
                <w:rFonts w:eastAsia="Aptos" w:cs="Arial"/>
                <w:kern w:val="2"/>
                <w:sz w:val="24"/>
                <w:szCs w:val="24"/>
                <w:lang w:val="pt-BR" w:eastAsia="en-US" w:bidi="ar-SA"/>
              </w:rPr>
              <w:t>Desfaz o escopo local da função, transfere o fluxo de controle e propaga o valor resultante ou o erro resultante.</w:t>
            </w:r>
          </w:p>
        </w:tc>
      </w:tr>
      <w:tr>
        <w:trPr>
          <w:trHeight w:val="1134" w:hRule="exact"/>
        </w:trPr>
        <w:tc>
          <w:tcPr>
            <w:tcW w:w="1393"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sz w:val="24"/>
              </w:rPr>
              <w:t>split</w:t>
            </w:r>
          </w:p>
        </w:tc>
        <w:tc>
          <w:tcPr>
            <w:tcW w:w="7101" w:type="dxa"/>
            <w:tcBorders>
              <w:top w:val="nil"/>
            </w:tcBorders>
            <w:vAlign w:val="center"/>
          </w:tcPr>
          <w:p>
            <w:pPr>
              <w:pStyle w:val="Normal"/>
              <w:widowControl/>
              <w:suppressAutoHyphens w:val="true"/>
              <w:spacing w:before="0" w:after="0"/>
              <w:contextualSpacing/>
              <w:jc w:val="left"/>
              <w:rPr>
                <w:rFonts w:eastAsia="Aptos"/>
              </w:rPr>
            </w:pPr>
            <w:r>
              <w:rPr>
                <w:rFonts w:eastAsia="Aptos"/>
                <w:sz w:val="24"/>
              </w:rPr>
              <w:t>Separa um fluxo de dados.</w:t>
            </w:r>
          </w:p>
        </w:tc>
      </w:tr>
      <w:tr>
        <w:trPr>
          <w:trHeight w:val="1134" w:hRule="exact"/>
        </w:trPr>
        <w:tc>
          <w:tcPr>
            <w:tcW w:w="1393"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sz w:val="24"/>
              </w:rPr>
              <w:t>join</w:t>
            </w:r>
          </w:p>
        </w:tc>
        <w:tc>
          <w:tcPr>
            <w:tcW w:w="7101" w:type="dxa"/>
            <w:tcBorders>
              <w:top w:val="nil"/>
            </w:tcBorders>
            <w:vAlign w:val="center"/>
          </w:tcPr>
          <w:p>
            <w:pPr>
              <w:pStyle w:val="Normal"/>
              <w:widowControl/>
              <w:suppressAutoHyphens w:val="true"/>
              <w:spacing w:before="0" w:after="0"/>
              <w:contextualSpacing/>
              <w:jc w:val="left"/>
              <w:rPr>
                <w:rFonts w:eastAsia="Aptos"/>
              </w:rPr>
            </w:pPr>
            <w:r>
              <w:rPr>
                <w:rFonts w:eastAsia="Aptos"/>
                <w:sz w:val="24"/>
              </w:rPr>
              <w:t>Une um fluxo de dados.</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91" w:name="__RefHeading___Toc8442_3056492648"/>
      <w:bookmarkStart w:id="192" w:name="_Toc230559758"/>
      <w:bookmarkEnd w:id="191"/>
      <w:r>
        <w:rPr>
          <w:rFonts w:cs="Arial" w:ascii="Arial" w:hAnsi="Arial"/>
        </w:rPr>
        <w:t>19</w:t>
      </w:r>
      <w:bookmarkStart w:id="193" w:name="_Toc229957238"/>
      <w:r>
        <w:rPr>
          <w:rFonts w:cs="Arial" w:ascii="Arial" w:hAnsi="Arial"/>
        </w:rPr>
        <w:t>.1.5 Resiliência e Casamento de Padrões</w:t>
      </w:r>
      <w:bookmarkEnd w:id="192"/>
      <w:bookmarkEnd w:id="193"/>
    </w:p>
    <w:p>
      <w:pPr>
        <w:pStyle w:val="Normal"/>
        <w:spacing w:lineRule="auto" w:line="276" w:before="0" w:after="0"/>
        <w:ind w:firstLine="567"/>
        <w:contextualSpacing/>
        <w:jc w:val="both"/>
        <w:rPr/>
      </w:pPr>
      <w:r>
        <w:rPr/>
        <w:t xml:space="preserve">Gerenciamento determinístico de erros e </w:t>
      </w:r>
      <w:r>
        <w:rPr>
          <w:i/>
          <w:iCs/>
        </w:rPr>
        <w:t>matchings</w:t>
      </w:r>
      <w:r>
        <w:rPr/>
        <w:t xml:space="preserve"> estruturais.</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match</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Casamento estrutural e semântico de padrões complexos em grafos de dados.</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error</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Filtro de desestruturação no bloco match para capturar metadados de uma falha.</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catch</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Cláusula de escape linear acoplada à pipeline --&gt; para injetar valores substitutos em falhas.</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ensure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Bloco de garantia de finalização (executado sempre, tanto em caminhos de sucesso quanto de falha).</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fallback</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Define rotas secundárias automáticas de infraestrutura de hardware (ex: falha de VRAM para RAM).</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panic</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Interrupção fatal imediata do </w:t>
            </w:r>
            <w:r>
              <w:rPr>
                <w:rFonts w:eastAsia="Aptos" w:cs="Arial"/>
                <w:i/>
                <w:iCs/>
                <w:kern w:val="2"/>
                <w:sz w:val="24"/>
                <w:szCs w:val="24"/>
                <w:lang w:val="pt-BR" w:eastAsia="en-US" w:bidi="ar-SA"/>
              </w:rPr>
              <w:t>Kernel</w:t>
            </w:r>
            <w:r>
              <w:rPr>
                <w:rFonts w:eastAsia="Aptos" w:cs="Arial"/>
                <w:kern w:val="2"/>
                <w:sz w:val="24"/>
                <w:szCs w:val="24"/>
                <w:lang w:val="pt-BR" w:eastAsia="en-US" w:bidi="ar-SA"/>
              </w:rPr>
              <w:t xml:space="preserve"> com destruição determinística da memória e encerramento.</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94" w:name="__RefHeading___Toc8444_3056492648"/>
      <w:bookmarkStart w:id="195" w:name="_Toc230559759"/>
      <w:bookmarkEnd w:id="194"/>
      <w:r>
        <w:rPr>
          <w:rFonts w:cs="Arial" w:ascii="Arial" w:hAnsi="Arial"/>
        </w:rPr>
        <w:t>19</w:t>
      </w:r>
      <w:bookmarkStart w:id="196" w:name="_Toc229957234"/>
      <w:r>
        <w:rPr>
          <w:rFonts w:cs="Arial" w:ascii="Arial" w:hAnsi="Arial"/>
        </w:rPr>
        <w:t>.1.6 Estruturação, Tipos e Contratos</w:t>
      </w:r>
      <w:bookmarkEnd w:id="195"/>
      <w:bookmarkEnd w:id="196"/>
    </w:p>
    <w:p>
      <w:pPr>
        <w:pStyle w:val="Normal"/>
        <w:spacing w:lineRule="auto" w:line="276" w:before="0" w:after="0"/>
        <w:ind w:firstLine="567"/>
        <w:contextualSpacing/>
        <w:jc w:val="both"/>
        <w:rPr/>
      </w:pPr>
      <w:r>
        <w:rPr/>
        <w:t>Definem as matrizes de memória e os contratos de interface.</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437"/>
        <w:gridCol w:w="7057"/>
      </w:tblGrid>
      <w:tr>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05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imut</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Alocação imutável com proteção de escrita no segmento de memória. Atribuição inicial obrigatória.</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mut</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Alocação mutável padrão com permissão de sobreescrita durante o ciclo de vida no fluxo.</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as</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Operador de alias ou coerção explícita de tipos (casting de narrowing/widening).</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function</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Declaração de sub-rotinas (funções) com isolamento de variáveis locais.</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contract</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Especifica uma interface de tipos (assinaturas de funções obrigatórias) para polimorfismo.</w:t>
            </w:r>
          </w:p>
        </w:tc>
      </w:tr>
      <w:tr>
        <w:trPr>
          <w:trHeight w:val="1134" w:hRule="exact"/>
        </w:trPr>
        <w:tc>
          <w:tcPr>
            <w:tcW w:w="1437"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impl</w:t>
            </w:r>
          </w:p>
        </w:tc>
        <w:tc>
          <w:tcPr>
            <w:tcW w:w="7057"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Vincula a implementação concreta de um contract a uma estrutura específica (Struct).</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197" w:name="__RefHeading___Toc8446_3056492648"/>
      <w:bookmarkStart w:id="198" w:name="_Toc230559760"/>
      <w:bookmarkEnd w:id="197"/>
      <w:r>
        <w:rPr>
          <w:rFonts w:cs="Arial" w:ascii="Arial" w:hAnsi="Arial"/>
        </w:rPr>
        <w:t>19</w:t>
      </w:r>
      <w:bookmarkStart w:id="199" w:name="_Toc229957235"/>
      <w:r>
        <w:rPr>
          <w:rFonts w:cs="Arial" w:ascii="Arial" w:hAnsi="Arial"/>
        </w:rPr>
        <w:t>.1.7 Ciclo de Vida e Segurança de Memória</w:t>
      </w:r>
      <w:bookmarkEnd w:id="198"/>
      <w:bookmarkEnd w:id="199"/>
    </w:p>
    <w:p>
      <w:pPr>
        <w:pStyle w:val="Normal"/>
        <w:spacing w:lineRule="auto" w:line="276" w:before="0" w:after="0"/>
        <w:ind w:firstLine="567"/>
        <w:contextualSpacing/>
        <w:jc w:val="both"/>
        <w:rPr/>
      </w:pPr>
      <w:r>
        <w:rPr/>
        <w:t xml:space="preserve">Instruem o gerenciador do </w:t>
      </w:r>
      <w:r>
        <w:rPr>
          <w:i/>
          <w:iCs/>
        </w:rPr>
        <w:t>runtime</w:t>
      </w:r>
      <w:r>
        <w:rPr/>
        <w:t xml:space="preserve"> sobre mutabilidade e posse (</w:t>
      </w:r>
      <w:r>
        <w:rPr>
          <w:i/>
          <w:iCs/>
        </w:rPr>
        <w:t>ownership</w:t>
      </w:r>
      <w:r>
        <w:rPr/>
        <w:t>).</w:t>
      </w:r>
    </w:p>
    <w:p>
      <w:pPr>
        <w:pStyle w:val="Normal"/>
        <w:spacing w:lineRule="auto" w:line="276" w:before="0" w:after="0"/>
        <w:contextualSpacing/>
        <w:rPr/>
      </w:pPr>
      <w:r>
        <w:rPr/>
      </w:r>
    </w:p>
    <w:p>
      <w:pPr>
        <w:pStyle w:val="Normal"/>
        <w:spacing w:lineRule="auto" w:line="276" w:before="0" w:after="0"/>
        <w:contextualSpacing/>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keep</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Inibe a liberação automática do Eager Flow Disposal, estendendo o tempo de vida do dado.</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move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Transfere explicitamente a posse (ownership) de um bloco de memória, invalidando o ponteiro anterior.</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borrow</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Empréstimo dos valores de um identificador sem transferir a sua posse (ownership).</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unsafe</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Desativa as proteções de memória do </w:t>
            </w:r>
            <w:r>
              <w:rPr>
                <w:rFonts w:eastAsia="Aptos" w:cs="Arial"/>
                <w:i/>
                <w:iCs/>
                <w:kern w:val="2"/>
                <w:sz w:val="24"/>
                <w:szCs w:val="24"/>
                <w:lang w:val="pt-BR" w:eastAsia="en-US" w:bidi="ar-SA"/>
              </w:rPr>
              <w:t>Kernel</w:t>
            </w:r>
            <w:r>
              <w:rPr>
                <w:rFonts w:eastAsia="Aptos" w:cs="Arial"/>
                <w:kern w:val="2"/>
                <w:sz w:val="24"/>
                <w:szCs w:val="24"/>
                <w:lang w:val="pt-BR" w:eastAsia="en-US" w:bidi="ar-SA"/>
              </w:rPr>
              <w:t xml:space="preserve"> para manipulação de ponteiros e chamadas C-ABI.</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200" w:name="__RefHeading___Toc8448_3056492648"/>
      <w:bookmarkStart w:id="201" w:name="_Toc230559761"/>
      <w:bookmarkEnd w:id="200"/>
      <w:r>
        <w:rPr>
          <w:rFonts w:cs="Arial" w:ascii="Arial" w:hAnsi="Arial"/>
        </w:rPr>
        <w:t>19</w:t>
      </w:r>
      <w:bookmarkStart w:id="202" w:name="_Toc229957236"/>
      <w:r>
        <w:rPr>
          <w:rFonts w:cs="Arial" w:ascii="Arial" w:hAnsi="Arial"/>
        </w:rPr>
        <w:t>.1.8 Topologia de Grafos e Concorrência (Dataflow)</w:t>
      </w:r>
      <w:bookmarkEnd w:id="201"/>
      <w:bookmarkEnd w:id="202"/>
    </w:p>
    <w:p>
      <w:pPr>
        <w:pStyle w:val="Normal"/>
        <w:spacing w:lineRule="auto" w:line="276" w:before="0" w:after="0"/>
        <w:ind w:firstLine="567"/>
        <w:contextualSpacing/>
        <w:jc w:val="both"/>
        <w:rPr/>
      </w:pPr>
      <w:r>
        <w:rPr/>
        <w:t>Os motores estruturais da programação orientada a fluxo.</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spawn</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 xml:space="preserve">Gatilho de execução assíncrona, autoriza e despacha um nó ou o caminho do </w:t>
            </w:r>
            <w:r>
              <w:rPr>
                <w:rFonts w:eastAsia="Aptos" w:cs="Arial"/>
                <w:i/>
                <w:iCs/>
                <w:kern w:val="2"/>
                <w:sz w:val="24"/>
                <w:szCs w:val="24"/>
                <w:lang w:val="pt-BR" w:eastAsia="en-US" w:bidi="ar-SA"/>
              </w:rPr>
              <w:t>dataflow</w:t>
            </w:r>
            <w:r>
              <w:rPr>
                <w:rFonts w:eastAsia="Aptos" w:cs="Arial"/>
                <w:kern w:val="2"/>
                <w:sz w:val="24"/>
                <w:szCs w:val="24"/>
                <w:lang w:val="pt-BR" w:eastAsia="en-US" w:bidi="ar-SA"/>
              </w:rPr>
              <w:t xml:space="preserve"> para o </w:t>
            </w:r>
            <w:r>
              <w:rPr>
                <w:rFonts w:eastAsia="Aptos" w:cs="Arial"/>
                <w:i/>
                <w:iCs/>
                <w:kern w:val="2"/>
                <w:sz w:val="24"/>
                <w:szCs w:val="24"/>
                <w:lang w:val="pt-BR" w:eastAsia="en-US" w:bidi="ar-SA"/>
              </w:rPr>
              <w:t>runtime</w:t>
            </w:r>
            <w:r>
              <w:rPr>
                <w:rFonts w:eastAsia="Aptos" w:cs="Arial"/>
                <w:kern w:val="2"/>
                <w:sz w:val="24"/>
                <w:szCs w:val="24"/>
                <w:lang w:val="pt-BR" w:eastAsia="en-US" w:bidi="ar-SA"/>
              </w:rPr>
              <w:t xml:space="preserve"> (green thread).</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async</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Modificador que transforma uma função em uma operação não-bloqueante que retorna um Future.</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await</w:t>
            </w:r>
          </w:p>
        </w:tc>
        <w:tc>
          <w:tcPr>
            <w:tcW w:w="7103" w:type="dxa"/>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Ponto de sincronização linear que suspende a pipeline síncrona até a resolução de um Future.</w:t>
            </w:r>
          </w:p>
        </w:tc>
      </w:tr>
    </w:tbl>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Heading3"/>
        <w:spacing w:lineRule="auto" w:line="276" w:before="0" w:after="0"/>
        <w:contextualSpacing/>
        <w:rPr/>
      </w:pPr>
      <w:bookmarkStart w:id="203" w:name="__RefHeading___Toc8448_3056492648_Copia_"/>
      <w:bookmarkStart w:id="204" w:name="_Toc230559761_Copia_1"/>
      <w:bookmarkEnd w:id="203"/>
      <w:r>
        <w:rPr>
          <w:rFonts w:cs="Arial" w:ascii="Arial" w:hAnsi="Arial"/>
        </w:rPr>
        <w:t>19</w:t>
      </w:r>
      <w:bookmarkStart w:id="205" w:name="_Toc229957236_Copia_1"/>
      <w:r>
        <w:rPr>
          <w:rFonts w:cs="Arial" w:ascii="Arial" w:hAnsi="Arial"/>
        </w:rPr>
        <w:t xml:space="preserve">.1.9 </w:t>
      </w:r>
      <w:bookmarkEnd w:id="204"/>
      <w:bookmarkEnd w:id="205"/>
      <w:r>
        <w:rPr>
          <w:rFonts w:cs="Arial" w:ascii="Arial" w:hAnsi="Arial"/>
        </w:rPr>
        <w:t>Tipos Compostos e Conjuntos</w:t>
      </w:r>
    </w:p>
    <w:p>
      <w:pPr>
        <w:pStyle w:val="Normal"/>
        <w:spacing w:lineRule="auto" w:line="276" w:before="0" w:after="0"/>
        <w:ind w:firstLine="567"/>
        <w:contextualSpacing/>
        <w:jc w:val="both"/>
        <w:rPr/>
      </w:pPr>
      <w:r>
        <w:rPr/>
        <w:t>Embora sejam, de fato, tipos compostos e de conjuntos de dados também são keywords da linguagem e portanto reservadas</w:t>
      </w:r>
    </w:p>
    <w:p>
      <w:pPr>
        <w:pStyle w:val="Normal"/>
        <w:spacing w:lineRule="auto" w:line="276" w:before="0" w:after="0"/>
        <w:contextualSpacing/>
        <w:jc w:val="both"/>
        <w:rPr/>
      </w:pPr>
      <w:r>
        <w:rPr/>
      </w:r>
    </w:p>
    <w:tbl>
      <w:tblPr>
        <w:tblStyle w:val="Tabelacomgrade"/>
        <w:tblW w:w="8494"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391"/>
        <w:gridCol w:w="7103"/>
      </w:tblGrid>
      <w:tr>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Keyword</w:t>
            </w:r>
          </w:p>
        </w:tc>
        <w:tc>
          <w:tcPr>
            <w:tcW w:w="7103"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Finalidade Semântica / Comportamento no Compilador</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set</w:t>
            </w:r>
          </w:p>
        </w:tc>
        <w:tc>
          <w:tcPr>
            <w:tcW w:w="7103"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Coleção mutável de elementos únicos homogêneos</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list</w:t>
            </w:r>
          </w:p>
        </w:tc>
        <w:tc>
          <w:tcPr>
            <w:tcW w:w="7103"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Sequência mutável homogênea indexada</w:t>
            </w:r>
          </w:p>
        </w:tc>
      </w:tr>
      <w:tr>
        <w:trPr>
          <w:trHeight w:val="1134" w:hRule="exact"/>
        </w:trPr>
        <w:tc>
          <w:tcPr>
            <w:tcW w:w="1391" w:type="dxa"/>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map</w:t>
            </w:r>
          </w:p>
        </w:tc>
        <w:tc>
          <w:tcPr>
            <w:tcW w:w="7103" w:type="dxa"/>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Estrutura de chave-valor heterogênea</w:t>
            </w:r>
          </w:p>
        </w:tc>
      </w:tr>
      <w:tr>
        <w:trPr>
          <w:trHeight w:val="1134" w:hRule="exact"/>
        </w:trPr>
        <w:tc>
          <w:tcPr>
            <w:tcW w:w="1391" w:type="dxa"/>
            <w:tcBorders>
              <w:top w:val="nil"/>
            </w:tcBorders>
            <w:shd w:color="auto" w:fill="CAEDFB" w:themeFill="accent4" w:themeFillTint="33" w:val="clear"/>
            <w:vAlign w:val="center"/>
          </w:tcPr>
          <w:p>
            <w:pPr>
              <w:pStyle w:val="Normal"/>
              <w:widowControl/>
              <w:suppressAutoHyphens w:val="true"/>
              <w:spacing w:before="0" w:after="0"/>
              <w:contextualSpacing/>
              <w:jc w:val="center"/>
              <w:rPr>
                <w:rFonts w:eastAsia="Aptos"/>
                <w:b/>
                <w:bCs/>
              </w:rPr>
            </w:pPr>
            <w:r>
              <w:rPr>
                <w:rFonts w:eastAsia="Aptos" w:cs="Arial"/>
                <w:b/>
                <w:bCs/>
                <w:kern w:val="2"/>
                <w:sz w:val="24"/>
                <w:szCs w:val="24"/>
                <w:lang w:val="pt-BR" w:eastAsia="en-US" w:bidi="ar-SA"/>
              </w:rPr>
              <w:t>data</w:t>
            </w:r>
          </w:p>
        </w:tc>
        <w:tc>
          <w:tcPr>
            <w:tcW w:w="7103" w:type="dxa"/>
            <w:tcBorders>
              <w:top w:val="nil"/>
            </w:tcBorders>
            <w:vAlign w:val="center"/>
          </w:tcPr>
          <w:p>
            <w:pPr>
              <w:pStyle w:val="Normal"/>
              <w:widowControl/>
              <w:suppressAutoHyphens w:val="true"/>
              <w:spacing w:before="0" w:after="0"/>
              <w:contextualSpacing/>
              <w:jc w:val="both"/>
              <w:rPr>
                <w:rFonts w:eastAsia="Aptos"/>
              </w:rPr>
            </w:pPr>
            <w:r>
              <w:rPr>
                <w:rFonts w:eastAsia="Aptos" w:cs="Arial"/>
                <w:kern w:val="2"/>
                <w:sz w:val="24"/>
                <w:szCs w:val="24"/>
                <w:lang w:val="pt-BR" w:eastAsia="en-US" w:bidi="ar-SA"/>
              </w:rPr>
              <w:t>Contêiner estrutural heterogêneo sem tipagem</w:t>
            </w:r>
          </w:p>
        </w:tc>
      </w:tr>
      <w:tr>
        <w:trPr>
          <w:trHeight w:val="1134" w:hRule="exact"/>
        </w:trPr>
        <w:tc>
          <w:tcPr>
            <w:tcW w:w="1391"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struct</w:t>
            </w:r>
          </w:p>
        </w:tc>
        <w:tc>
          <w:tcPr>
            <w:tcW w:w="7103" w:type="dxa"/>
            <w:tcBorders>
              <w:top w:val="nil"/>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Define um molde para tipos heterogêneos</w:t>
            </w:r>
          </w:p>
        </w:tc>
      </w:tr>
      <w:tr>
        <w:trPr>
          <w:trHeight w:val="1134" w:hRule="exact"/>
        </w:trPr>
        <w:tc>
          <w:tcPr>
            <w:tcW w:w="1391" w:type="dxa"/>
            <w:tcBorders>
              <w:top w:val="nil"/>
            </w:tcBorders>
            <w:shd w:color="auto" w:fill="CAEDFB" w:themeFill="accent4" w:themeFillTint="33" w:val="clear"/>
            <w:vAlign w:val="center"/>
          </w:tcPr>
          <w:p>
            <w:pPr>
              <w:pStyle w:val="Normal"/>
              <w:widowControl/>
              <w:suppressAutoHyphens w:val="true"/>
              <w:spacing w:lineRule="auto" w:line="276" w:before="0" w:after="0"/>
              <w:contextualSpacing/>
              <w:jc w:val="center"/>
              <w:rPr>
                <w:rFonts w:eastAsia="Aptos"/>
              </w:rPr>
            </w:pPr>
            <w:r>
              <w:rPr>
                <w:rFonts w:eastAsia="Aptos" w:cs="Arial"/>
                <w:b/>
                <w:bCs/>
                <w:kern w:val="2"/>
                <w:sz w:val="24"/>
                <w:szCs w:val="24"/>
                <w:lang w:val="pt-BR" w:eastAsia="en-US" w:bidi="ar-SA"/>
              </w:rPr>
              <w:t>enum</w:t>
            </w:r>
          </w:p>
        </w:tc>
        <w:tc>
          <w:tcPr>
            <w:tcW w:w="7103" w:type="dxa"/>
            <w:tcBorders>
              <w:top w:val="nil"/>
            </w:tcBorders>
            <w:vAlign w:val="center"/>
          </w:tcPr>
          <w:p>
            <w:pPr>
              <w:pStyle w:val="Normal"/>
              <w:widowControl/>
              <w:suppressAutoHyphens w:val="true"/>
              <w:spacing w:lineRule="auto" w:line="276" w:before="0" w:after="0"/>
              <w:contextualSpacing/>
              <w:jc w:val="both"/>
              <w:rPr>
                <w:rFonts w:eastAsia="Aptos"/>
              </w:rPr>
            </w:pPr>
            <w:r>
              <w:rPr>
                <w:rFonts w:eastAsia="Aptos" w:cs="Arial"/>
                <w:kern w:val="2"/>
                <w:sz w:val="24"/>
                <w:szCs w:val="24"/>
                <w:lang w:val="pt-BR" w:eastAsia="en-US" w:bidi="ar-SA"/>
              </w:rPr>
              <w:t>Define uma enumeração de estados ou tipos</w:t>
            </w:r>
          </w:p>
        </w:tc>
      </w:tr>
    </w:tbl>
    <w:p>
      <w:pPr>
        <w:pStyle w:val="Normal"/>
        <w:spacing w:lineRule="auto" w:line="276" w:before="0" w:after="0"/>
        <w:contextualSpacing/>
        <w:jc w:val="both"/>
        <w:rPr/>
      </w:pPr>
      <w:r>
        <w:rPr/>
      </w:r>
      <w:r>
        <w:br w:type="page"/>
      </w:r>
    </w:p>
    <w:p>
      <w:pPr>
        <w:pStyle w:val="Normal"/>
        <w:spacing w:before="0" w:after="0"/>
        <w:contextualSpacing/>
        <w:jc w:val="both"/>
        <w:rPr/>
      </w:pPr>
      <w:r>
        <w:rPr/>
        <mc:AlternateContent>
          <mc:Choice Requires="wps">
            <w:drawing>
              <wp:inline distT="0" distB="0" distL="0" distR="0">
                <wp:extent cx="5400040" cy="19050"/>
                <wp:effectExtent l="114300" t="0" r="114300" b="0"/>
                <wp:docPr id="21" name="Forma 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before="0" w:after="0"/>
        <w:contextualSpacing/>
        <w:jc w:val="both"/>
        <w:rPr/>
      </w:pPr>
      <w:bookmarkStart w:id="206" w:name="__RefHeading___Toc8430_3056492648_Copia_"/>
      <w:bookmarkEnd w:id="206"/>
      <w:r>
        <w:rPr>
          <w:rFonts w:cs="Arial" w:ascii="Arial" w:hAnsi="Arial"/>
          <w:b/>
          <w:bCs/>
        </w:rPr>
        <w:t>20</w:t>
      </w:r>
      <w:bookmarkStart w:id="207" w:name="_Toc229957231_Copia_1_Copia_1"/>
      <w:bookmarkStart w:id="208" w:name="_Toc230559752_Copia_1_Copia_1"/>
      <w:r>
        <w:rPr>
          <w:rFonts w:cs="Arial" w:ascii="Arial" w:hAnsi="Arial"/>
          <w:b/>
          <w:bCs/>
        </w:rPr>
        <w:t xml:space="preserve"> </w:t>
      </w:r>
      <w:bookmarkEnd w:id="207"/>
      <w:bookmarkEnd w:id="208"/>
      <w:r>
        <w:rPr>
          <w:rFonts w:cs="Arial" w:ascii="Arial" w:hAnsi="Arial"/>
          <w:b/>
          <w:bCs/>
        </w:rPr>
        <w:t>Diretrizes de Governança e Rastreabilidade</w:t>
      </w:r>
    </w:p>
    <w:p>
      <w:pPr>
        <w:pStyle w:val="Normal"/>
        <w:widowControl/>
        <w:suppressAutoHyphens w:val="true"/>
        <w:bidi w:val="0"/>
        <w:spacing w:before="0" w:after="0"/>
        <w:ind w:firstLine="567" w:left="0" w:right="0"/>
        <w:contextualSpacing/>
        <w:jc w:val="both"/>
        <w:rPr>
          <w:rFonts w:ascii="Arial" w:hAnsi="Arial" w:cs="Arial"/>
          <w:b w:val="false"/>
          <w:bCs w:val="false"/>
        </w:rPr>
      </w:pPr>
      <w:r>
        <w:rPr>
          <w:rFonts w:cs="Arial"/>
          <w:b w:val="false"/>
          <w:bCs w:val="false"/>
        </w:rPr>
        <w:t>Para assegurar a consistência absoluta entre a especificação teórica e a implementação da FLUX, os testes e exemplos práticos atuam como documentação normativa da linguagem. A versão atual (v0.1) estabelece as seguintes regras de governança e rastreabilidade:</w:t>
      </w:r>
    </w:p>
    <w:p>
      <w:pPr>
        <w:pStyle w:val="Normal"/>
        <w:widowControl/>
        <w:numPr>
          <w:ilvl w:val="0"/>
          <w:numId w:val="27"/>
        </w:numPr>
        <w:suppressAutoHyphens w:val="true"/>
        <w:bidi w:val="0"/>
        <w:spacing w:before="0" w:after="0"/>
        <w:ind w:hanging="340" w:left="1077" w:right="0"/>
        <w:contextualSpacing/>
        <w:jc w:val="both"/>
        <w:rPr>
          <w:rFonts w:ascii="Arial" w:hAnsi="Arial" w:cs="Arial"/>
          <w:b w:val="false"/>
          <w:bCs w:val="false"/>
        </w:rPr>
      </w:pPr>
      <w:r>
        <w:rPr>
          <w:rFonts w:cs="Arial"/>
          <w:b w:val="false"/>
          <w:bCs w:val="false"/>
        </w:rPr>
        <w:t>Exemplos Normativos: Os exemplos práticos refletem o estado real da implementação. Não é permitido o uso de sintaxe legada, e funcionalidades ainda reservadas (não implementadas) não devem constar como exemplos executáveis.</w:t>
      </w:r>
    </w:p>
    <w:p>
      <w:pPr>
        <w:pStyle w:val="Normal"/>
        <w:widowControl/>
        <w:numPr>
          <w:ilvl w:val="0"/>
          <w:numId w:val="27"/>
        </w:numPr>
        <w:suppressAutoHyphens w:val="true"/>
        <w:bidi w:val="0"/>
        <w:spacing w:before="0" w:after="0"/>
        <w:ind w:hanging="340" w:left="1077" w:right="0"/>
        <w:contextualSpacing/>
        <w:jc w:val="both"/>
        <w:rPr>
          <w:rFonts w:ascii="Arial" w:hAnsi="Arial" w:cs="Arial"/>
          <w:b w:val="false"/>
          <w:bCs w:val="false"/>
        </w:rPr>
      </w:pPr>
      <w:r>
        <w:rPr>
          <w:rFonts w:cs="Arial"/>
          <w:b w:val="false"/>
          <w:bCs w:val="false"/>
        </w:rPr>
        <w:t>Paridade de Testes: A biblioteca padrão (stdlib) e qualquer nova implementação exigem cobertura rigorosa, garantindo a paridade de comportamento entre o Interpreter e a VM.</w:t>
      </w:r>
    </w:p>
    <w:p>
      <w:pPr>
        <w:pStyle w:val="Normal"/>
        <w:widowControl/>
        <w:numPr>
          <w:ilvl w:val="0"/>
          <w:numId w:val="27"/>
        </w:numPr>
        <w:suppressAutoHyphens w:val="true"/>
        <w:bidi w:val="0"/>
        <w:spacing w:before="0" w:after="0"/>
        <w:ind w:hanging="340" w:left="1077" w:right="0"/>
        <w:contextualSpacing/>
        <w:jc w:val="both"/>
        <w:rPr>
          <w:rFonts w:ascii="Arial" w:hAnsi="Arial" w:cs="Arial"/>
          <w:b w:val="false"/>
          <w:bCs w:val="false"/>
        </w:rPr>
      </w:pPr>
      <w:r>
        <w:rPr>
          <w:rFonts w:cs="Arial"/>
          <w:b w:val="false"/>
          <w:bCs w:val="false"/>
        </w:rPr>
        <w:t>Ciclo de Atualização Obrigatório: Toda nova decisão arquitetural ou alteração na linguagem requer a atualização simultânea e sincronizada dos seguintes artefatos:</w:t>
      </w:r>
    </w:p>
    <w:p>
      <w:pPr>
        <w:pStyle w:val="Normal"/>
        <w:widowControl/>
        <w:suppressAutoHyphens w:val="true"/>
        <w:bidi w:val="0"/>
        <w:spacing w:before="0" w:after="0"/>
        <w:ind w:firstLine="567" w:left="0" w:right="0"/>
        <w:contextualSpacing/>
        <w:jc w:val="both"/>
        <w:rPr>
          <w:rFonts w:ascii="Arial" w:hAnsi="Arial" w:cs="Arial"/>
          <w:b w:val="false"/>
          <w:bCs w:val="false"/>
        </w:rPr>
      </w:pPr>
      <w:r>
        <w:rPr>
          <w:rFonts w:cs="Arial"/>
          <w:b w:val="false"/>
          <w:bCs w:val="false"/>
        </w:rPr>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Especificação (SPEC / White Paper);</w:t>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Gramática Formal (EBNF);</w:t>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Código de Implementação;</w:t>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Suíte de Testes;</w:t>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Exemplos executáveis;</w:t>
      </w:r>
    </w:p>
    <w:p>
      <w:pPr>
        <w:pStyle w:val="Normal"/>
        <w:widowControl/>
        <w:numPr>
          <w:ilvl w:val="0"/>
          <w:numId w:val="29"/>
        </w:numPr>
        <w:suppressAutoHyphens w:val="true"/>
        <w:bidi w:val="0"/>
        <w:spacing w:before="0" w:after="0"/>
        <w:contextualSpacing/>
        <w:jc w:val="both"/>
        <w:rPr>
          <w:rFonts w:ascii="Arial" w:hAnsi="Arial" w:cs="Arial"/>
          <w:b w:val="false"/>
          <w:bCs w:val="false"/>
        </w:rPr>
      </w:pPr>
      <w:r>
        <w:rPr>
          <w:rFonts w:cs="Arial"/>
          <w:b w:val="false"/>
          <w:bCs w:val="false"/>
        </w:rPr>
        <w:t>Matriz de Rastreabilidade.</w:t>
      </w:r>
    </w:p>
    <w:p>
      <w:pPr>
        <w:pStyle w:val="Normal"/>
        <w:widowControl/>
        <w:suppressAutoHyphens w:val="true"/>
        <w:bidi w:val="0"/>
        <w:spacing w:before="0" w:after="0"/>
        <w:ind w:firstLine="567" w:left="0" w:right="0"/>
        <w:contextualSpacing/>
        <w:jc w:val="both"/>
        <w:rPr>
          <w:rFonts w:ascii="Arial" w:hAnsi="Arial" w:cs="Arial"/>
          <w:b w:val="false"/>
          <w:bCs w:val="false"/>
        </w:rPr>
      </w:pPr>
      <w:r>
        <w:rPr>
          <w:rFonts w:cs="Arial"/>
          <w:b w:val="false"/>
          <w:bCs w:val="false"/>
        </w:rPr>
      </w:r>
    </w:p>
    <w:p>
      <w:pPr>
        <w:pStyle w:val="Normal"/>
        <w:widowControl/>
        <w:numPr>
          <w:ilvl w:val="0"/>
          <w:numId w:val="28"/>
        </w:numPr>
        <w:suppressAutoHyphens w:val="true"/>
        <w:bidi w:val="0"/>
        <w:spacing w:before="0" w:after="0"/>
        <w:ind w:hanging="340" w:left="1077" w:right="0"/>
        <w:contextualSpacing/>
        <w:jc w:val="both"/>
        <w:rPr>
          <w:rFonts w:ascii="Arial" w:hAnsi="Arial" w:cs="Arial"/>
          <w:b w:val="false"/>
          <w:bCs w:val="false"/>
        </w:rPr>
      </w:pPr>
      <w:r>
        <w:rPr>
          <w:rFonts w:cs="Arial"/>
          <w:b w:val="false"/>
          <w:bCs w:val="false"/>
        </w:rPr>
        <w:t>Validação de Documentação: O ecossistema prevê testes automatizados de documentação para assegurar a presença e atualização dos arquivos normativos esperados, incluindo o rastreio contínuo de diferenças de especificação (ex: docs/DIFF_TheFlux_Codex.md).</w:t>
      </w:r>
    </w:p>
    <w:p>
      <w:pPr>
        <w:pStyle w:val="Normal"/>
        <w:spacing w:lineRule="auto" w:line="276" w:before="0" w:after="0"/>
        <w:contextualSpacing/>
        <w:jc w:val="both"/>
        <w:rPr/>
      </w:pPr>
      <w:r>
        <w:rPr/>
      </w:r>
    </w:p>
    <w:p>
      <w:pPr>
        <w:pStyle w:val="Normal"/>
        <w:spacing w:lineRule="auto" w:line="276" w:before="0" w:after="0"/>
        <w:contextualSpacing/>
        <w:jc w:val="both"/>
        <w:rPr/>
      </w:pPr>
      <w:r>
        <w:rPr/>
      </w:r>
      <w:r>
        <w:br w:type="page"/>
      </w:r>
    </w:p>
    <w:p>
      <w:pPr>
        <w:pStyle w:val="Normal"/>
        <w:spacing w:before="0" w:after="0"/>
        <w:contextualSpacing/>
        <w:jc w:val="both"/>
        <w:rPr/>
      </w:pPr>
      <w:r>
        <w:rPr/>
        <mc:AlternateContent>
          <mc:Choice Requires="wps">
            <w:drawing>
              <wp:inline distT="0" distB="0" distL="0" distR="0">
                <wp:extent cx="5400040" cy="19050"/>
                <wp:effectExtent l="114300" t="0" r="114300" b="0"/>
                <wp:docPr id="22" name="Forma 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spacing w:before="0" w:after="0"/>
        <w:contextualSpacing/>
        <w:jc w:val="both"/>
        <w:rPr/>
      </w:pPr>
      <w:bookmarkStart w:id="209" w:name="__RefHeading___Toc8430_3056492648_Copia1"/>
      <w:bookmarkEnd w:id="209"/>
      <w:r>
        <w:rPr>
          <w:rFonts w:cs="Arial" w:ascii="Arial" w:hAnsi="Arial"/>
          <w:b/>
          <w:bCs/>
        </w:rPr>
        <w:t>21</w:t>
      </w:r>
      <w:bookmarkStart w:id="210" w:name="_Toc229957231_Copia_1"/>
      <w:bookmarkStart w:id="211" w:name="_Toc230559752_Copia_1"/>
      <w:r>
        <w:rPr>
          <w:rFonts w:cs="Arial" w:ascii="Arial" w:hAnsi="Arial"/>
          <w:b/>
          <w:bCs/>
        </w:rPr>
        <w:t xml:space="preserve"> </w:t>
      </w:r>
      <w:bookmarkEnd w:id="210"/>
      <w:bookmarkEnd w:id="211"/>
      <w:r>
        <w:rPr>
          <w:rFonts w:cs="Arial" w:ascii="Arial" w:hAnsi="Arial"/>
          <w:b/>
          <w:bCs/>
        </w:rPr>
        <w:t>ROADMAP</w:t>
      </w:r>
    </w:p>
    <w:p>
      <w:pPr>
        <w:pStyle w:val="Normal"/>
        <w:spacing w:lineRule="auto" w:line="276" w:before="0" w:after="0"/>
        <w:ind w:firstLine="567"/>
        <w:contextualSpacing/>
        <w:jc w:val="both"/>
        <w:rPr/>
      </w:pPr>
      <w:r>
        <w:rPr/>
        <w:t>O modelo conceitual da FLUX prevê a delegação do trabalho pesado para infraestruturas otimizadas. A integração das tecnologias a seguir faz parte do futuro da linguagem, condicionada à criação e validação de backends específicos:</w:t>
      </w:r>
    </w:p>
    <w:p>
      <w:pPr>
        <w:pStyle w:val="Normal"/>
        <w:widowControl/>
        <w:numPr>
          <w:ilvl w:val="0"/>
          <w:numId w:val="23"/>
        </w:numPr>
        <w:suppressAutoHyphens w:val="true"/>
        <w:bidi w:val="0"/>
        <w:spacing w:lineRule="auto" w:line="276" w:before="0" w:after="0"/>
        <w:ind w:hanging="340" w:left="1077" w:right="0"/>
        <w:contextualSpacing/>
        <w:jc w:val="both"/>
        <w:rPr/>
      </w:pPr>
      <w:r>
        <w:rPr/>
        <w:t>Aceleração GPU: Suporte a GPGPU, gerenciamento de VRAM e uso de TensorCores (via CUDA e OpenCL).</w:t>
      </w:r>
    </w:p>
    <w:p>
      <w:pPr>
        <w:pStyle w:val="Normal"/>
        <w:widowControl/>
        <w:numPr>
          <w:ilvl w:val="0"/>
          <w:numId w:val="23"/>
        </w:numPr>
        <w:suppressAutoHyphens w:val="true"/>
        <w:bidi w:val="0"/>
        <w:spacing w:lineRule="auto" w:line="276" w:before="0" w:after="0"/>
        <w:ind w:hanging="340" w:left="1077" w:right="0"/>
        <w:contextualSpacing/>
        <w:jc w:val="both"/>
        <w:rPr/>
      </w:pPr>
      <w:r>
        <w:rPr/>
        <w:t>Vetorização SIMD/AVX: Processamento em nível de dados nativo na CPU.</w:t>
      </w:r>
    </w:p>
    <w:p>
      <w:pPr>
        <w:pStyle w:val="Normal"/>
        <w:widowControl/>
        <w:numPr>
          <w:ilvl w:val="0"/>
          <w:numId w:val="23"/>
        </w:numPr>
        <w:suppressAutoHyphens w:val="true"/>
        <w:bidi w:val="0"/>
        <w:spacing w:lineRule="auto" w:line="276" w:before="0" w:after="0"/>
        <w:ind w:hanging="340" w:left="1077" w:right="0"/>
        <w:contextualSpacing/>
        <w:jc w:val="both"/>
        <w:rPr/>
      </w:pPr>
      <w:r>
        <w:rPr/>
        <w:t>HPC (Alta Performance): Despacho integrado para bibliotecas físicas como MKL, BLAS e LAPACK.</w:t>
      </w:r>
    </w:p>
    <w:p>
      <w:pPr>
        <w:pStyle w:val="Normal"/>
        <w:widowControl/>
        <w:numPr>
          <w:ilvl w:val="0"/>
          <w:numId w:val="23"/>
        </w:numPr>
        <w:suppressAutoHyphens w:val="true"/>
        <w:bidi w:val="0"/>
        <w:spacing w:lineRule="auto" w:line="276" w:before="0" w:after="0"/>
        <w:ind w:hanging="340" w:left="1077" w:right="0"/>
        <w:contextualSpacing/>
        <w:jc w:val="both"/>
        <w:rPr/>
      </w:pPr>
      <w:r>
        <w:rPr/>
        <w:t>Compilação C-ABI e WASM: Despachante físico nativo, interoperabilidade com C e execução via WebAssembly.</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spacing w:lineRule="auto" w:line="276" w:before="0" w:after="0"/>
        <w:contextualSpacing/>
        <w:jc w:val="both"/>
        <w:rPr/>
      </w:pPr>
      <w:r>
        <w:rPr/>
      </w:r>
    </w:p>
    <w:sectPr>
      <w:type w:val="nextPage"/>
      <w:pgSz w:w="11906" w:h="16838"/>
      <w:pgMar w:left="1701" w:right="1701" w:gutter="0" w:header="0" w:top="1417" w:footer="0"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Display">
    <w:charset w:val="00"/>
    <w:family w:val="swiss"/>
    <w:pitch w:val="variable"/>
  </w:font>
  <w:font w:name="Aptos">
    <w:charset w:val="00"/>
    <w:family w:val="swiss"/>
    <w:pitch w:val="variable"/>
  </w:font>
  <w:font w:name="Courier New">
    <w:charset w:val="00"/>
    <w:family w:val="swiss"/>
    <w:pitch w:val="variable"/>
  </w:font>
  <w:font w:name="Liberation Mono">
    <w:altName w:val="Courier New"/>
    <w:charset w:val="00"/>
    <w:family w:val="swiss"/>
    <w:pitch w:val="variable"/>
  </w:font>
  <w:font w:name="OpenSymbol">
    <w:altName w:val="Arial Unicode MS"/>
    <w:charset w:val="02"/>
    <w:family w:val="swiss"/>
    <w:pitch w:val="variable"/>
  </w:font>
  <w:font w:name="Liberation Sans">
    <w:altName w:val="Arial"/>
    <w:charset w:val="00"/>
    <w:family w:val="swiss"/>
    <w:pitch w:val="variable"/>
  </w:font>
  <w:font w:name="Segoe UI Emoji">
    <w:charset w:val="00"/>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9">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1030"/>
        </w:tabs>
        <w:ind w:left="1030" w:hanging="360"/>
      </w:pPr>
      <w:rPr>
        <w:rFonts w:ascii="Symbol" w:hAnsi="Symbol" w:cs="Symbol" w:hint="default"/>
      </w:rPr>
    </w:lvl>
    <w:lvl w:ilvl="1">
      <w:start w:val="1"/>
      <w:numFmt w:val="bullet"/>
      <w:lvlText w:val="◦"/>
      <w:lvlJc w:val="left"/>
      <w:pPr>
        <w:tabs>
          <w:tab w:val="num" w:pos="1390"/>
        </w:tabs>
        <w:ind w:left="1390" w:hanging="360"/>
      </w:pPr>
      <w:rPr>
        <w:rFonts w:ascii="OpenSymbol" w:hAnsi="OpenSymbol" w:cs="OpenSymbol" w:hint="default"/>
      </w:rPr>
    </w:lvl>
    <w:lvl w:ilvl="2">
      <w:start w:val="1"/>
      <w:numFmt w:val="bullet"/>
      <w:lvlText w:val="▪"/>
      <w:lvlJc w:val="left"/>
      <w:pPr>
        <w:tabs>
          <w:tab w:val="num" w:pos="1750"/>
        </w:tabs>
        <w:ind w:left="1750" w:hanging="360"/>
      </w:pPr>
      <w:rPr>
        <w:rFonts w:ascii="OpenSymbol" w:hAnsi="OpenSymbol" w:cs="OpenSymbol" w:hint="default"/>
      </w:rPr>
    </w:lvl>
    <w:lvl w:ilvl="3">
      <w:start w:val="1"/>
      <w:numFmt w:val="bullet"/>
      <w:lvlText w:val=""/>
      <w:lvlJc w:val="left"/>
      <w:pPr>
        <w:tabs>
          <w:tab w:val="num" w:pos="2110"/>
        </w:tabs>
        <w:ind w:left="2110" w:hanging="360"/>
      </w:pPr>
      <w:rPr>
        <w:rFonts w:ascii="Symbol" w:hAnsi="Symbol" w:cs="Symbol" w:hint="default"/>
      </w:rPr>
    </w:lvl>
    <w:lvl w:ilvl="4">
      <w:start w:val="1"/>
      <w:numFmt w:val="bullet"/>
      <w:lvlText w:val="◦"/>
      <w:lvlJc w:val="left"/>
      <w:pPr>
        <w:tabs>
          <w:tab w:val="num" w:pos="2470"/>
        </w:tabs>
        <w:ind w:left="2470" w:hanging="360"/>
      </w:pPr>
      <w:rPr>
        <w:rFonts w:ascii="OpenSymbol" w:hAnsi="OpenSymbol" w:cs="OpenSymbol" w:hint="default"/>
      </w:rPr>
    </w:lvl>
    <w:lvl w:ilvl="5">
      <w:start w:val="1"/>
      <w:numFmt w:val="bullet"/>
      <w:lvlText w:val="▪"/>
      <w:lvlJc w:val="left"/>
      <w:pPr>
        <w:tabs>
          <w:tab w:val="num" w:pos="2830"/>
        </w:tabs>
        <w:ind w:left="2830" w:hanging="360"/>
      </w:pPr>
      <w:rPr>
        <w:rFonts w:ascii="OpenSymbol" w:hAnsi="OpenSymbol" w:cs="OpenSymbol" w:hint="default"/>
      </w:rPr>
    </w:lvl>
    <w:lvl w:ilvl="6">
      <w:start w:val="1"/>
      <w:numFmt w:val="bullet"/>
      <w:lvlText w:val=""/>
      <w:lvlJc w:val="left"/>
      <w:pPr>
        <w:tabs>
          <w:tab w:val="num" w:pos="3190"/>
        </w:tabs>
        <w:ind w:left="3190" w:hanging="360"/>
      </w:pPr>
      <w:rPr>
        <w:rFonts w:ascii="Symbol" w:hAnsi="Symbol" w:cs="Symbol" w:hint="default"/>
      </w:rPr>
    </w:lvl>
    <w:lvl w:ilvl="7">
      <w:start w:val="1"/>
      <w:numFmt w:val="bullet"/>
      <w:lvlText w:val="◦"/>
      <w:lvlJc w:val="left"/>
      <w:pPr>
        <w:tabs>
          <w:tab w:val="num" w:pos="3550"/>
        </w:tabs>
        <w:ind w:left="3550" w:hanging="360"/>
      </w:pPr>
      <w:rPr>
        <w:rFonts w:ascii="OpenSymbol" w:hAnsi="OpenSymbol" w:cs="OpenSymbol" w:hint="default"/>
      </w:rPr>
    </w:lvl>
    <w:lvl w:ilvl="8">
      <w:start w:val="1"/>
      <w:numFmt w:val="bullet"/>
      <w:lvlText w:val="▪"/>
      <w:lvlJc w:val="left"/>
      <w:pPr>
        <w:tabs>
          <w:tab w:val="num" w:pos="3910"/>
        </w:tabs>
        <w:ind w:left="391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2124"/>
        </w:tabs>
        <w:ind w:left="2124" w:hanging="360"/>
      </w:pPr>
      <w:rPr>
        <w:rFonts w:ascii="Symbol" w:hAnsi="Symbol" w:cs="Symbol" w:hint="default"/>
      </w:rPr>
    </w:lvl>
    <w:lvl w:ilvl="1">
      <w:start w:val="1"/>
      <w:numFmt w:val="bullet"/>
      <w:lvlText w:val="◦"/>
      <w:lvlJc w:val="left"/>
      <w:pPr>
        <w:tabs>
          <w:tab w:val="num" w:pos="2484"/>
        </w:tabs>
        <w:ind w:left="2484" w:hanging="360"/>
      </w:pPr>
      <w:rPr>
        <w:rFonts w:ascii="OpenSymbol" w:hAnsi="OpenSymbol" w:cs="OpenSymbol" w:hint="default"/>
      </w:rPr>
    </w:lvl>
    <w:lvl w:ilvl="2">
      <w:start w:val="1"/>
      <w:numFmt w:val="bullet"/>
      <w:lvlText w:val="▪"/>
      <w:lvlJc w:val="left"/>
      <w:pPr>
        <w:tabs>
          <w:tab w:val="num" w:pos="2844"/>
        </w:tabs>
        <w:ind w:left="2844" w:hanging="360"/>
      </w:pPr>
      <w:rPr>
        <w:rFonts w:ascii="OpenSymbol" w:hAnsi="OpenSymbol" w:cs="OpenSymbol" w:hint="default"/>
      </w:rPr>
    </w:lvl>
    <w:lvl w:ilvl="3">
      <w:start w:val="1"/>
      <w:numFmt w:val="bullet"/>
      <w:lvlText w:val=""/>
      <w:lvlJc w:val="left"/>
      <w:pPr>
        <w:tabs>
          <w:tab w:val="num" w:pos="3204"/>
        </w:tabs>
        <w:ind w:left="3204" w:hanging="360"/>
      </w:pPr>
      <w:rPr>
        <w:rFonts w:ascii="Symbol" w:hAnsi="Symbol" w:cs="Symbol" w:hint="default"/>
      </w:rPr>
    </w:lvl>
    <w:lvl w:ilvl="4">
      <w:start w:val="1"/>
      <w:numFmt w:val="bullet"/>
      <w:lvlText w:val="◦"/>
      <w:lvlJc w:val="left"/>
      <w:pPr>
        <w:tabs>
          <w:tab w:val="num" w:pos="3564"/>
        </w:tabs>
        <w:ind w:left="3564" w:hanging="360"/>
      </w:pPr>
      <w:rPr>
        <w:rFonts w:ascii="OpenSymbol" w:hAnsi="OpenSymbol" w:cs="OpenSymbol" w:hint="default"/>
      </w:rPr>
    </w:lvl>
    <w:lvl w:ilvl="5">
      <w:start w:val="1"/>
      <w:numFmt w:val="bullet"/>
      <w:lvlText w:val="▪"/>
      <w:lvlJc w:val="left"/>
      <w:pPr>
        <w:tabs>
          <w:tab w:val="num" w:pos="3924"/>
        </w:tabs>
        <w:ind w:left="3924" w:hanging="360"/>
      </w:pPr>
      <w:rPr>
        <w:rFonts w:ascii="OpenSymbol" w:hAnsi="OpenSymbol" w:cs="OpenSymbol" w:hint="default"/>
      </w:rPr>
    </w:lvl>
    <w:lvl w:ilvl="6">
      <w:start w:val="1"/>
      <w:numFmt w:val="bullet"/>
      <w:lvlText w:val=""/>
      <w:lvlJc w:val="left"/>
      <w:pPr>
        <w:tabs>
          <w:tab w:val="num" w:pos="4284"/>
        </w:tabs>
        <w:ind w:left="4284" w:hanging="360"/>
      </w:pPr>
      <w:rPr>
        <w:rFonts w:ascii="Symbol" w:hAnsi="Symbol" w:cs="Symbol" w:hint="default"/>
      </w:rPr>
    </w:lvl>
    <w:lvl w:ilvl="7">
      <w:start w:val="1"/>
      <w:numFmt w:val="bullet"/>
      <w:lvlText w:val="◦"/>
      <w:lvlJc w:val="left"/>
      <w:pPr>
        <w:tabs>
          <w:tab w:val="num" w:pos="4644"/>
        </w:tabs>
        <w:ind w:left="4644" w:hanging="360"/>
      </w:pPr>
      <w:rPr>
        <w:rFonts w:ascii="OpenSymbol" w:hAnsi="OpenSymbol" w:cs="OpenSymbol" w:hint="default"/>
      </w:rPr>
    </w:lvl>
    <w:lvl w:ilvl="8">
      <w:start w:val="1"/>
      <w:numFmt w:val="bullet"/>
      <w:lvlText w:val="▪"/>
      <w:lvlJc w:val="left"/>
      <w:pPr>
        <w:tabs>
          <w:tab w:val="num" w:pos="5004"/>
        </w:tabs>
        <w:ind w:left="5004" w:hanging="360"/>
      </w:pPr>
      <w:rPr>
        <w:rFonts w:ascii="OpenSymbol" w:hAnsi="OpenSymbol" w:cs="OpenSymbol" w:hint="default"/>
      </w:rPr>
    </w:lvl>
  </w:abstractNum>
  <w:abstractNum w:abstractNumId="25">
    <w:lvl w:ilvl="0">
      <w:start w:val="1"/>
      <w:numFmt w:val="bullet"/>
      <w:lvlText w:val=""/>
      <w:lvlJc w:val="left"/>
      <w:pPr>
        <w:tabs>
          <w:tab w:val="num" w:pos="1070"/>
        </w:tabs>
        <w:ind w:left="1070" w:hanging="360"/>
      </w:pPr>
      <w:rPr>
        <w:rFonts w:ascii="Symbol" w:hAnsi="Symbol" w:cs="Symbol" w:hint="default"/>
      </w:rPr>
    </w:lvl>
    <w:lvl w:ilvl="1">
      <w:start w:val="1"/>
      <w:numFmt w:val="bullet"/>
      <w:lvlText w:val="◦"/>
      <w:lvlJc w:val="left"/>
      <w:pPr>
        <w:tabs>
          <w:tab w:val="num" w:pos="1430"/>
        </w:tabs>
        <w:ind w:left="1430" w:hanging="360"/>
      </w:pPr>
      <w:rPr>
        <w:rFonts w:ascii="OpenSymbol" w:hAnsi="OpenSymbol" w:cs="OpenSymbol" w:hint="default"/>
      </w:rPr>
    </w:lvl>
    <w:lvl w:ilvl="2">
      <w:start w:val="1"/>
      <w:numFmt w:val="bullet"/>
      <w:lvlText w:val="▪"/>
      <w:lvlJc w:val="left"/>
      <w:pPr>
        <w:tabs>
          <w:tab w:val="num" w:pos="1790"/>
        </w:tabs>
        <w:ind w:left="1790" w:hanging="360"/>
      </w:pPr>
      <w:rPr>
        <w:rFonts w:ascii="OpenSymbol" w:hAnsi="OpenSymbol" w:cs="OpenSymbol" w:hint="default"/>
      </w:rPr>
    </w:lvl>
    <w:lvl w:ilvl="3">
      <w:start w:val="1"/>
      <w:numFmt w:val="bullet"/>
      <w:lvlText w:val=""/>
      <w:lvlJc w:val="left"/>
      <w:pPr>
        <w:tabs>
          <w:tab w:val="num" w:pos="2150"/>
        </w:tabs>
        <w:ind w:left="2150" w:hanging="360"/>
      </w:pPr>
      <w:rPr>
        <w:rFonts w:ascii="Symbol" w:hAnsi="Symbol" w:cs="Symbol" w:hint="default"/>
      </w:rPr>
    </w:lvl>
    <w:lvl w:ilvl="4">
      <w:start w:val="1"/>
      <w:numFmt w:val="bullet"/>
      <w:lvlText w:val="◦"/>
      <w:lvlJc w:val="left"/>
      <w:pPr>
        <w:tabs>
          <w:tab w:val="num" w:pos="2510"/>
        </w:tabs>
        <w:ind w:left="2510" w:hanging="360"/>
      </w:pPr>
      <w:rPr>
        <w:rFonts w:ascii="OpenSymbol" w:hAnsi="OpenSymbol" w:cs="OpenSymbol" w:hint="default"/>
      </w:rPr>
    </w:lvl>
    <w:lvl w:ilvl="5">
      <w:start w:val="1"/>
      <w:numFmt w:val="bullet"/>
      <w:lvlText w:val="▪"/>
      <w:lvlJc w:val="left"/>
      <w:pPr>
        <w:tabs>
          <w:tab w:val="num" w:pos="2870"/>
        </w:tabs>
        <w:ind w:left="2870" w:hanging="360"/>
      </w:pPr>
      <w:rPr>
        <w:rFonts w:ascii="OpenSymbol" w:hAnsi="OpenSymbol" w:cs="OpenSymbol" w:hint="default"/>
      </w:rPr>
    </w:lvl>
    <w:lvl w:ilvl="6">
      <w:start w:val="1"/>
      <w:numFmt w:val="bullet"/>
      <w:lvlText w:val=""/>
      <w:lvlJc w:val="left"/>
      <w:pPr>
        <w:tabs>
          <w:tab w:val="num" w:pos="3230"/>
        </w:tabs>
        <w:ind w:left="3230" w:hanging="360"/>
      </w:pPr>
      <w:rPr>
        <w:rFonts w:ascii="Symbol" w:hAnsi="Symbol" w:cs="Symbol" w:hint="default"/>
      </w:rPr>
    </w:lvl>
    <w:lvl w:ilvl="7">
      <w:start w:val="1"/>
      <w:numFmt w:val="bullet"/>
      <w:lvlText w:val="◦"/>
      <w:lvlJc w:val="left"/>
      <w:pPr>
        <w:tabs>
          <w:tab w:val="num" w:pos="3590"/>
        </w:tabs>
        <w:ind w:left="3590" w:hanging="360"/>
      </w:pPr>
      <w:rPr>
        <w:rFonts w:ascii="OpenSymbol" w:hAnsi="OpenSymbol" w:cs="OpenSymbol" w:hint="default"/>
      </w:rPr>
    </w:lvl>
    <w:lvl w:ilvl="8">
      <w:start w:val="1"/>
      <w:numFmt w:val="bullet"/>
      <w:lvlText w:val="▪"/>
      <w:lvlJc w:val="left"/>
      <w:pPr>
        <w:tabs>
          <w:tab w:val="num" w:pos="3950"/>
        </w:tabs>
        <w:ind w:left="3950" w:hanging="360"/>
      </w:pPr>
      <w:rPr>
        <w:rFonts w:ascii="OpenSymbol" w:hAnsi="OpenSymbol" w:cs="OpenSymbol" w:hint="default"/>
      </w:rPr>
    </w:lvl>
  </w:abstractNum>
  <w:abstractNum w:abstractNumId="26">
    <w:lvl w:ilvl="0">
      <w:start w:val="1"/>
      <w:numFmt w:val="bullet"/>
      <w:lvlText w:val=""/>
      <w:lvlJc w:val="left"/>
      <w:pPr>
        <w:tabs>
          <w:tab w:val="num" w:pos="1793"/>
        </w:tabs>
        <w:ind w:left="1793" w:hanging="360"/>
      </w:pPr>
      <w:rPr>
        <w:rFonts w:ascii="Symbol" w:hAnsi="Symbol" w:cs="Symbol" w:hint="default"/>
      </w:rPr>
    </w:lvl>
    <w:lvl w:ilvl="1">
      <w:start w:val="1"/>
      <w:numFmt w:val="bullet"/>
      <w:lvlText w:val="◦"/>
      <w:lvlJc w:val="left"/>
      <w:pPr>
        <w:tabs>
          <w:tab w:val="num" w:pos="2153"/>
        </w:tabs>
        <w:ind w:left="2153" w:hanging="360"/>
      </w:pPr>
      <w:rPr>
        <w:rFonts w:ascii="OpenSymbol" w:hAnsi="OpenSymbol" w:cs="OpenSymbol" w:hint="default"/>
      </w:rPr>
    </w:lvl>
    <w:lvl w:ilvl="2">
      <w:start w:val="1"/>
      <w:numFmt w:val="bullet"/>
      <w:lvlText w:val="▪"/>
      <w:lvlJc w:val="left"/>
      <w:pPr>
        <w:tabs>
          <w:tab w:val="num" w:pos="2513"/>
        </w:tabs>
        <w:ind w:left="2513" w:hanging="360"/>
      </w:pPr>
      <w:rPr>
        <w:rFonts w:ascii="OpenSymbol" w:hAnsi="OpenSymbol" w:cs="OpenSymbol" w:hint="default"/>
      </w:rPr>
    </w:lvl>
    <w:lvl w:ilvl="3">
      <w:start w:val="1"/>
      <w:numFmt w:val="bullet"/>
      <w:lvlText w:val=""/>
      <w:lvlJc w:val="left"/>
      <w:pPr>
        <w:tabs>
          <w:tab w:val="num" w:pos="2873"/>
        </w:tabs>
        <w:ind w:left="2873" w:hanging="360"/>
      </w:pPr>
      <w:rPr>
        <w:rFonts w:ascii="Symbol" w:hAnsi="Symbol" w:cs="Symbol" w:hint="default"/>
      </w:rPr>
    </w:lvl>
    <w:lvl w:ilvl="4">
      <w:start w:val="1"/>
      <w:numFmt w:val="bullet"/>
      <w:lvlText w:val="◦"/>
      <w:lvlJc w:val="left"/>
      <w:pPr>
        <w:tabs>
          <w:tab w:val="num" w:pos="3233"/>
        </w:tabs>
        <w:ind w:left="3233" w:hanging="360"/>
      </w:pPr>
      <w:rPr>
        <w:rFonts w:ascii="OpenSymbol" w:hAnsi="OpenSymbol" w:cs="OpenSymbol" w:hint="default"/>
      </w:rPr>
    </w:lvl>
    <w:lvl w:ilvl="5">
      <w:start w:val="1"/>
      <w:numFmt w:val="bullet"/>
      <w:lvlText w:val="▪"/>
      <w:lvlJc w:val="left"/>
      <w:pPr>
        <w:tabs>
          <w:tab w:val="num" w:pos="3593"/>
        </w:tabs>
        <w:ind w:left="3593" w:hanging="360"/>
      </w:pPr>
      <w:rPr>
        <w:rFonts w:ascii="OpenSymbol" w:hAnsi="OpenSymbol" w:cs="OpenSymbol" w:hint="default"/>
      </w:rPr>
    </w:lvl>
    <w:lvl w:ilvl="6">
      <w:start w:val="1"/>
      <w:numFmt w:val="bullet"/>
      <w:lvlText w:val=""/>
      <w:lvlJc w:val="left"/>
      <w:pPr>
        <w:tabs>
          <w:tab w:val="num" w:pos="3953"/>
        </w:tabs>
        <w:ind w:left="3953" w:hanging="360"/>
      </w:pPr>
      <w:rPr>
        <w:rFonts w:ascii="Symbol" w:hAnsi="Symbol" w:cs="Symbol" w:hint="default"/>
      </w:rPr>
    </w:lvl>
    <w:lvl w:ilvl="7">
      <w:start w:val="1"/>
      <w:numFmt w:val="bullet"/>
      <w:lvlText w:val="◦"/>
      <w:lvlJc w:val="left"/>
      <w:pPr>
        <w:tabs>
          <w:tab w:val="num" w:pos="4313"/>
        </w:tabs>
        <w:ind w:left="4313" w:hanging="360"/>
      </w:pPr>
      <w:rPr>
        <w:rFonts w:ascii="OpenSymbol" w:hAnsi="OpenSymbol" w:cs="OpenSymbol" w:hint="default"/>
      </w:rPr>
    </w:lvl>
    <w:lvl w:ilvl="8">
      <w:start w:val="1"/>
      <w:numFmt w:val="bullet"/>
      <w:lvlText w:val="▪"/>
      <w:lvlJc w:val="left"/>
      <w:pPr>
        <w:tabs>
          <w:tab w:val="num" w:pos="4673"/>
        </w:tabs>
        <w:ind w:left="4673"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2163"/>
        </w:tabs>
        <w:ind w:left="2163" w:hanging="360"/>
      </w:pPr>
      <w:rPr>
        <w:rFonts w:ascii="Symbol" w:hAnsi="Symbol" w:cs="Symbol" w:hint="default"/>
      </w:rPr>
    </w:lvl>
    <w:lvl w:ilvl="1">
      <w:start w:val="1"/>
      <w:numFmt w:val="bullet"/>
      <w:lvlText w:val="◦"/>
      <w:lvlJc w:val="left"/>
      <w:pPr>
        <w:tabs>
          <w:tab w:val="num" w:pos="2523"/>
        </w:tabs>
        <w:ind w:left="2523" w:hanging="360"/>
      </w:pPr>
      <w:rPr>
        <w:rFonts w:ascii="OpenSymbol" w:hAnsi="OpenSymbol" w:cs="OpenSymbol" w:hint="default"/>
      </w:rPr>
    </w:lvl>
    <w:lvl w:ilvl="2">
      <w:start w:val="1"/>
      <w:numFmt w:val="bullet"/>
      <w:lvlText w:val="▪"/>
      <w:lvlJc w:val="left"/>
      <w:pPr>
        <w:tabs>
          <w:tab w:val="num" w:pos="2883"/>
        </w:tabs>
        <w:ind w:left="2883" w:hanging="360"/>
      </w:pPr>
      <w:rPr>
        <w:rFonts w:ascii="OpenSymbol" w:hAnsi="OpenSymbol" w:cs="OpenSymbol" w:hint="default"/>
      </w:rPr>
    </w:lvl>
    <w:lvl w:ilvl="3">
      <w:start w:val="1"/>
      <w:numFmt w:val="bullet"/>
      <w:lvlText w:val=""/>
      <w:lvlJc w:val="left"/>
      <w:pPr>
        <w:tabs>
          <w:tab w:val="num" w:pos="3243"/>
        </w:tabs>
        <w:ind w:left="3243" w:hanging="360"/>
      </w:pPr>
      <w:rPr>
        <w:rFonts w:ascii="Symbol" w:hAnsi="Symbol" w:cs="Symbol" w:hint="default"/>
      </w:rPr>
    </w:lvl>
    <w:lvl w:ilvl="4">
      <w:start w:val="1"/>
      <w:numFmt w:val="bullet"/>
      <w:lvlText w:val="◦"/>
      <w:lvlJc w:val="left"/>
      <w:pPr>
        <w:tabs>
          <w:tab w:val="num" w:pos="3603"/>
        </w:tabs>
        <w:ind w:left="3603" w:hanging="360"/>
      </w:pPr>
      <w:rPr>
        <w:rFonts w:ascii="OpenSymbol" w:hAnsi="OpenSymbol" w:cs="OpenSymbol" w:hint="default"/>
      </w:rPr>
    </w:lvl>
    <w:lvl w:ilvl="5">
      <w:start w:val="1"/>
      <w:numFmt w:val="bullet"/>
      <w:lvlText w:val="▪"/>
      <w:lvlJc w:val="left"/>
      <w:pPr>
        <w:tabs>
          <w:tab w:val="num" w:pos="3963"/>
        </w:tabs>
        <w:ind w:left="3963" w:hanging="360"/>
      </w:pPr>
      <w:rPr>
        <w:rFonts w:ascii="OpenSymbol" w:hAnsi="OpenSymbol" w:cs="OpenSymbol" w:hint="default"/>
      </w:rPr>
    </w:lvl>
    <w:lvl w:ilvl="6">
      <w:start w:val="1"/>
      <w:numFmt w:val="bullet"/>
      <w:lvlText w:val=""/>
      <w:lvlJc w:val="left"/>
      <w:pPr>
        <w:tabs>
          <w:tab w:val="num" w:pos="4323"/>
        </w:tabs>
        <w:ind w:left="4323" w:hanging="360"/>
      </w:pPr>
      <w:rPr>
        <w:rFonts w:ascii="Symbol" w:hAnsi="Symbol" w:cs="Symbol" w:hint="default"/>
      </w:rPr>
    </w:lvl>
    <w:lvl w:ilvl="7">
      <w:start w:val="1"/>
      <w:numFmt w:val="bullet"/>
      <w:lvlText w:val="◦"/>
      <w:lvlJc w:val="left"/>
      <w:pPr>
        <w:tabs>
          <w:tab w:val="num" w:pos="4683"/>
        </w:tabs>
        <w:ind w:left="4683" w:hanging="360"/>
      </w:pPr>
      <w:rPr>
        <w:rFonts w:ascii="OpenSymbol" w:hAnsi="OpenSymbol" w:cs="OpenSymbol" w:hint="default"/>
      </w:rPr>
    </w:lvl>
    <w:lvl w:ilvl="8">
      <w:start w:val="1"/>
      <w:numFmt w:val="bullet"/>
      <w:lvlText w:val="▪"/>
      <w:lvlJc w:val="left"/>
      <w:pPr>
        <w:tabs>
          <w:tab w:val="num" w:pos="5043"/>
        </w:tabs>
        <w:ind w:left="5043" w:hanging="360"/>
      </w:pPr>
      <w:rPr>
        <w:rFonts w:ascii="OpenSymbol" w:hAnsi="OpenSymbol" w:cs="OpenSymbol" w:hint="default"/>
      </w:rPr>
    </w:lvl>
  </w:abstractNum>
  <w:abstractNum w:abstractNumId="29">
    <w:lvl w:ilvl="0">
      <w:start w:val="1"/>
      <w:numFmt w:val="decimal"/>
      <w:lvlText w:val="%1."/>
      <w:lvlJc w:val="left"/>
      <w:pPr>
        <w:tabs>
          <w:tab w:val="num" w:pos="1820"/>
        </w:tabs>
        <w:ind w:left="1820" w:hanging="360"/>
      </w:pPr>
      <w:rPr/>
    </w:lvl>
    <w:lvl w:ilvl="1">
      <w:start w:val="1"/>
      <w:numFmt w:val="decimal"/>
      <w:lvlText w:val="%2."/>
      <w:lvlJc w:val="left"/>
      <w:pPr>
        <w:tabs>
          <w:tab w:val="num" w:pos="2180"/>
        </w:tabs>
        <w:ind w:left="2180" w:hanging="360"/>
      </w:pPr>
      <w:rPr/>
    </w:lvl>
    <w:lvl w:ilvl="2">
      <w:start w:val="1"/>
      <w:numFmt w:val="decimal"/>
      <w:lvlText w:val="%3."/>
      <w:lvlJc w:val="left"/>
      <w:pPr>
        <w:tabs>
          <w:tab w:val="num" w:pos="2540"/>
        </w:tabs>
        <w:ind w:left="2540" w:hanging="360"/>
      </w:pPr>
      <w:rPr/>
    </w:lvl>
    <w:lvl w:ilvl="3">
      <w:start w:val="1"/>
      <w:numFmt w:val="decimal"/>
      <w:lvlText w:val="%4."/>
      <w:lvlJc w:val="left"/>
      <w:pPr>
        <w:tabs>
          <w:tab w:val="num" w:pos="2900"/>
        </w:tabs>
        <w:ind w:left="2900" w:hanging="360"/>
      </w:pPr>
      <w:rPr/>
    </w:lvl>
    <w:lvl w:ilvl="4">
      <w:start w:val="1"/>
      <w:numFmt w:val="decimal"/>
      <w:lvlText w:val="%5."/>
      <w:lvlJc w:val="left"/>
      <w:pPr>
        <w:tabs>
          <w:tab w:val="num" w:pos="3260"/>
        </w:tabs>
        <w:ind w:left="3260" w:hanging="360"/>
      </w:pPr>
      <w:rPr/>
    </w:lvl>
    <w:lvl w:ilvl="5">
      <w:start w:val="1"/>
      <w:numFmt w:val="decimal"/>
      <w:lvlText w:val="%6."/>
      <w:lvlJc w:val="left"/>
      <w:pPr>
        <w:tabs>
          <w:tab w:val="num" w:pos="3620"/>
        </w:tabs>
        <w:ind w:left="3620" w:hanging="360"/>
      </w:pPr>
      <w:rPr/>
    </w:lvl>
    <w:lvl w:ilvl="6">
      <w:start w:val="1"/>
      <w:numFmt w:val="decimal"/>
      <w:lvlText w:val="%7."/>
      <w:lvlJc w:val="left"/>
      <w:pPr>
        <w:tabs>
          <w:tab w:val="num" w:pos="3980"/>
        </w:tabs>
        <w:ind w:left="3980" w:hanging="360"/>
      </w:pPr>
      <w:rPr/>
    </w:lvl>
    <w:lvl w:ilvl="7">
      <w:start w:val="1"/>
      <w:numFmt w:val="decimal"/>
      <w:lvlText w:val="%8."/>
      <w:lvlJc w:val="left"/>
      <w:pPr>
        <w:tabs>
          <w:tab w:val="num" w:pos="4340"/>
        </w:tabs>
        <w:ind w:left="4340" w:hanging="360"/>
      </w:pPr>
      <w:rPr/>
    </w:lvl>
    <w:lvl w:ilvl="8">
      <w:start w:val="1"/>
      <w:numFmt w:val="decimal"/>
      <w:lvlText w:val="%9."/>
      <w:lvlJc w:val="left"/>
      <w:pPr>
        <w:tabs>
          <w:tab w:val="num" w:pos="4700"/>
        </w:tabs>
        <w:ind w:left="4700" w:hanging="360"/>
      </w:pPr>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10"/>
  <w:defaultTabStop w:val="708"/>
  <w:autoHyphenation w:val="true"/>
  <w:hyphenationZone w:val="0"/>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ptos" w:cs="Arial" w:eastAsia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02f"/>
    <w:pPr>
      <w:widowControl/>
      <w:suppressAutoHyphens w:val="true"/>
      <w:bidi w:val="0"/>
      <w:spacing w:before="0" w:after="0"/>
      <w:jc w:val="left"/>
    </w:pPr>
    <w:rPr>
      <w:rFonts w:ascii="Arial" w:hAnsi="Arial" w:eastAsia="Aptos" w:cs="Arial" w:eastAsia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f16be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unhideWhenUsed/>
    <w:qFormat/>
    <w:rsid w:val="00f16be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unhideWhenUsed/>
    <w:qFormat/>
    <w:rsid w:val="00f16be5"/>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tulo4Char"/>
    <w:uiPriority w:val="9"/>
    <w:unhideWhenUsed/>
    <w:qFormat/>
    <w:rsid w:val="00f16be5"/>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tulo5Char"/>
    <w:uiPriority w:val="9"/>
    <w:semiHidden/>
    <w:unhideWhenUsed/>
    <w:qFormat/>
    <w:rsid w:val="00f16be5"/>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tulo6Char"/>
    <w:uiPriority w:val="9"/>
    <w:semiHidden/>
    <w:unhideWhenUsed/>
    <w:qFormat/>
    <w:rsid w:val="00f16be5"/>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tulo7Char"/>
    <w:uiPriority w:val="9"/>
    <w:semiHidden/>
    <w:unhideWhenUsed/>
    <w:qFormat/>
    <w:rsid w:val="00f16be5"/>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tulo8Char"/>
    <w:uiPriority w:val="9"/>
    <w:semiHidden/>
    <w:unhideWhenUsed/>
    <w:qFormat/>
    <w:rsid w:val="00f16be5"/>
    <w:pPr>
      <w:keepNext w:val="true"/>
      <w:keepLines/>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tulo9Char"/>
    <w:uiPriority w:val="9"/>
    <w:semiHidden/>
    <w:unhideWhenUsed/>
    <w:qFormat/>
    <w:rsid w:val="00f16be5"/>
    <w:pPr>
      <w:keepNext w:val="true"/>
      <w:keepLines/>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f16be5"/>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qFormat/>
    <w:rsid w:val="00f16be5"/>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qFormat/>
    <w:rsid w:val="00f16be5"/>
    <w:rPr>
      <w:rFonts w:ascii="Aptos" w:hAnsi="Aptos" w:eastAsia="" w:cs="" w:asciiTheme="minorHAnsi" w:cstheme="majorBidi" w:eastAsiaTheme="majorEastAsia" w:hAnsiTheme="minorHAnsi"/>
      <w:color w:themeColor="accent1" w:themeShade="bf" w:val="0F4761"/>
      <w:sz w:val="28"/>
      <w:szCs w:val="28"/>
    </w:rPr>
  </w:style>
  <w:style w:type="character" w:styleId="Ttulo4Char" w:customStyle="1">
    <w:name w:val="Título 4 Char"/>
    <w:basedOn w:val="DefaultParagraphFont"/>
    <w:uiPriority w:val="9"/>
    <w:qFormat/>
    <w:rsid w:val="00f16be5"/>
    <w:rPr>
      <w:rFonts w:ascii="Aptos" w:hAnsi="Aptos" w:eastAsia="" w:cs="" w:asciiTheme="minorHAnsi" w:cstheme="majorBidi" w:eastAsiaTheme="majorEastAsia" w:hAnsiTheme="minorHAnsi"/>
      <w:i/>
      <w:iCs/>
      <w:color w:themeColor="accent1" w:themeShade="bf" w:val="0F4761"/>
    </w:rPr>
  </w:style>
  <w:style w:type="character" w:styleId="Ttulo5Char" w:customStyle="1">
    <w:name w:val="Título 5 Char"/>
    <w:basedOn w:val="DefaultParagraphFont"/>
    <w:uiPriority w:val="9"/>
    <w:semiHidden/>
    <w:qFormat/>
    <w:rsid w:val="00f16be5"/>
    <w:rPr>
      <w:rFonts w:ascii="Aptos" w:hAnsi="Aptos" w:eastAsia="" w:cs="" w:asciiTheme="minorHAnsi" w:cstheme="majorBidi" w:eastAsiaTheme="majorEastAsia" w:hAnsiTheme="minorHAnsi"/>
      <w:color w:themeColor="accent1" w:themeShade="bf" w:val="0F4761"/>
    </w:rPr>
  </w:style>
  <w:style w:type="character" w:styleId="Ttulo6Char" w:customStyle="1">
    <w:name w:val="Título 6 Char"/>
    <w:basedOn w:val="DefaultParagraphFont"/>
    <w:uiPriority w:val="9"/>
    <w:semiHidden/>
    <w:qFormat/>
    <w:rsid w:val="00f16be5"/>
    <w:rPr>
      <w:rFonts w:ascii="Aptos" w:hAnsi="Aptos" w:eastAsia="" w:cs="" w:asciiTheme="minorHAnsi" w:cstheme="majorBidi" w:eastAsiaTheme="majorEastAsia" w:hAnsiTheme="minorHAnsi"/>
      <w:i/>
      <w:iCs/>
      <w:color w:themeColor="text1" w:themeTint="a6" w:val="595959"/>
    </w:rPr>
  </w:style>
  <w:style w:type="character" w:styleId="Ttulo7Char" w:customStyle="1">
    <w:name w:val="Título 7 Char"/>
    <w:basedOn w:val="DefaultParagraphFont"/>
    <w:uiPriority w:val="9"/>
    <w:semiHidden/>
    <w:qFormat/>
    <w:rsid w:val="00f16be5"/>
    <w:rPr>
      <w:rFonts w:ascii="Aptos" w:hAnsi="Aptos" w:eastAsia="" w:cs="" w:asciiTheme="minorHAnsi" w:cstheme="majorBidi" w:eastAsiaTheme="majorEastAsia" w:hAnsiTheme="minorHAnsi"/>
      <w:color w:themeColor="text1" w:themeTint="a6" w:val="595959"/>
    </w:rPr>
  </w:style>
  <w:style w:type="character" w:styleId="Ttulo8Char" w:customStyle="1">
    <w:name w:val="Título 8 Char"/>
    <w:basedOn w:val="DefaultParagraphFont"/>
    <w:uiPriority w:val="9"/>
    <w:semiHidden/>
    <w:qFormat/>
    <w:rsid w:val="00f16be5"/>
    <w:rPr>
      <w:rFonts w:ascii="Aptos" w:hAnsi="Aptos" w:eastAsia="" w:cs="" w:asciiTheme="minorHAnsi" w:cstheme="majorBidi" w:eastAsiaTheme="majorEastAsia" w:hAnsiTheme="minorHAnsi"/>
      <w:i/>
      <w:iCs/>
      <w:color w:themeColor="text1" w:themeTint="d8" w:val="272727"/>
    </w:rPr>
  </w:style>
  <w:style w:type="character" w:styleId="Ttulo9Char" w:customStyle="1">
    <w:name w:val="Título 9 Char"/>
    <w:basedOn w:val="DefaultParagraphFont"/>
    <w:uiPriority w:val="9"/>
    <w:semiHidden/>
    <w:qFormat/>
    <w:rsid w:val="00f16be5"/>
    <w:rPr>
      <w:rFonts w:ascii="Aptos" w:hAnsi="Aptos" w:eastAsia="" w:cs="" w:asciiTheme="minorHAnsi" w:cstheme="majorBidi" w:eastAsiaTheme="majorEastAsia" w:hAnsiTheme="minorHAnsi"/>
      <w:color w:themeColor="text1" w:themeTint="d8" w:val="272727"/>
    </w:rPr>
  </w:style>
  <w:style w:type="character" w:styleId="TtuloChar" w:customStyle="1">
    <w:name w:val="Título Char"/>
    <w:basedOn w:val="DefaultParagraphFont"/>
    <w:uiPriority w:val="10"/>
    <w:qFormat/>
    <w:rsid w:val="00f16be5"/>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f16be5"/>
    <w:rPr>
      <w:rFonts w:ascii="Aptos" w:hAnsi="Aptos" w:eastAsia="" w:cs="" w:asciiTheme="minorHAnsi" w:cstheme="majorBidi" w:eastAsiaTheme="majorEastAsia" w:hAnsiTheme="minorHAnsi"/>
      <w:color w:themeColor="text1" w:themeTint="a6" w:val="595959"/>
      <w:spacing w:val="15"/>
      <w:sz w:val="28"/>
      <w:szCs w:val="28"/>
    </w:rPr>
  </w:style>
  <w:style w:type="character" w:styleId="CitaoChar" w:customStyle="1">
    <w:name w:val="Citação Char"/>
    <w:basedOn w:val="DefaultParagraphFont"/>
    <w:link w:val="Quote"/>
    <w:uiPriority w:val="29"/>
    <w:qFormat/>
    <w:rsid w:val="00f16be5"/>
    <w:rPr>
      <w:i/>
      <w:iCs/>
      <w:color w:themeColor="text1" w:themeTint="bf" w:val="404040"/>
    </w:rPr>
  </w:style>
  <w:style w:type="character" w:styleId="IntenseEmphasis">
    <w:name w:val="Intense Emphasis"/>
    <w:basedOn w:val="DefaultParagraphFont"/>
    <w:uiPriority w:val="21"/>
    <w:qFormat/>
    <w:rsid w:val="00f16be5"/>
    <w:rPr>
      <w:i/>
      <w:iCs/>
      <w:color w:themeColor="accent1" w:themeShade="bf" w:val="0F4761"/>
    </w:rPr>
  </w:style>
  <w:style w:type="character" w:styleId="CitaoIntensaChar" w:customStyle="1">
    <w:name w:val="Citação Intensa Char"/>
    <w:basedOn w:val="DefaultParagraphFont"/>
    <w:link w:val="IntenseQuote"/>
    <w:uiPriority w:val="30"/>
    <w:qFormat/>
    <w:rsid w:val="00f16be5"/>
    <w:rPr>
      <w:i/>
      <w:iCs/>
      <w:color w:themeColor="accent1" w:themeShade="bf" w:val="0F4761"/>
    </w:rPr>
  </w:style>
  <w:style w:type="character" w:styleId="IntenseReference">
    <w:name w:val="Intense Reference"/>
    <w:basedOn w:val="DefaultParagraphFont"/>
    <w:uiPriority w:val="32"/>
    <w:qFormat/>
    <w:rsid w:val="00f16be5"/>
    <w:rPr>
      <w:b/>
      <w:bCs/>
      <w:smallCaps/>
      <w:color w:themeColor="accent1" w:themeShade="bf" w:val="0F4761"/>
      <w:spacing w:val="5"/>
    </w:rPr>
  </w:style>
  <w:style w:type="character" w:styleId="Pr-formataoHTMLChar" w:customStyle="1">
    <w:name w:val="Pré-formatação HTML Char"/>
    <w:basedOn w:val="DefaultParagraphFont"/>
    <w:link w:val="HTMLPreformatted"/>
    <w:uiPriority w:val="99"/>
    <w:semiHidden/>
    <w:qFormat/>
    <w:rsid w:val="00f16be5"/>
    <w:rPr>
      <w:rFonts w:ascii="Courier New" w:hAnsi="Courier New" w:eastAsia="Times New Roman" w:cs="Courier New"/>
      <w:kern w:val="0"/>
      <w:sz w:val="20"/>
      <w:szCs w:val="20"/>
      <w:lang w:eastAsia="pt-BR"/>
    </w:rPr>
  </w:style>
  <w:style w:type="character" w:styleId="HTMLCode">
    <w:name w:val="HTML Code"/>
    <w:basedOn w:val="DefaultParagraphFont"/>
    <w:uiPriority w:val="99"/>
    <w:semiHidden/>
    <w:unhideWhenUsed/>
    <w:qFormat/>
    <w:rsid w:val="00f16be5"/>
    <w:rPr>
      <w:rFonts w:ascii="Courier New" w:hAnsi="Courier New" w:eastAsia="Times New Roman" w:cs="Courier New"/>
      <w:sz w:val="20"/>
      <w:szCs w:val="20"/>
    </w:rPr>
  </w:style>
  <w:style w:type="character" w:styleId="TextodenotadefimChar" w:customStyle="1">
    <w:name w:val="Texto de nota de fim Char"/>
    <w:basedOn w:val="DefaultParagraphFont"/>
    <w:uiPriority w:val="99"/>
    <w:semiHidden/>
    <w:qFormat/>
    <w:rsid w:val="00105b03"/>
    <w:rPr>
      <w:sz w:val="20"/>
      <w:szCs w:val="20"/>
    </w:rPr>
  </w:style>
  <w:style w:type="character" w:styleId="Caracteresdenotadefimuser" w:customStyle="1">
    <w:name w:val="Caracteres de nota de fim (user)"/>
    <w:uiPriority w:val="99"/>
    <w:semiHidden/>
    <w:unhideWhenUsed/>
    <w:qFormat/>
    <w:rsid w:val="00105b03"/>
    <w:rPr>
      <w:vertAlign w:val="superscript"/>
    </w:rPr>
  </w:style>
  <w:style w:type="character" w:styleId="Caracteresdenotadefim" w:customStyle="1">
    <w:name w:val="Caracteres de nota de fim"/>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227f18"/>
    <w:rPr>
      <w:color w:themeColor="hyperlink" w:val="467886"/>
      <w:u w:val="single"/>
    </w:rPr>
  </w:style>
  <w:style w:type="character" w:styleId="Strong">
    <w:name w:val="Strong"/>
    <w:basedOn w:val="DefaultParagraphFont"/>
    <w:uiPriority w:val="22"/>
    <w:qFormat/>
    <w:rsid w:val="006116a6"/>
    <w:rPr>
      <w:b/>
      <w:bCs/>
    </w:rPr>
  </w:style>
  <w:style w:type="character" w:styleId="citation-660" w:customStyle="1">
    <w:name w:val="citation-660"/>
    <w:basedOn w:val="DefaultParagraphFont"/>
    <w:qFormat/>
    <w:rsid w:val="00736bc9"/>
    <w:rPr/>
  </w:style>
  <w:style w:type="character" w:styleId="citation-298" w:customStyle="1">
    <w:name w:val="citation-298"/>
    <w:basedOn w:val="DefaultParagraphFont"/>
    <w:qFormat/>
    <w:rsid w:val="00be2304"/>
    <w:rPr/>
  </w:style>
  <w:style w:type="character" w:styleId="citation-297" w:customStyle="1">
    <w:name w:val="citation-297"/>
    <w:basedOn w:val="DefaultParagraphFont"/>
    <w:qFormat/>
    <w:rsid w:val="00be2304"/>
    <w:rPr/>
  </w:style>
  <w:style w:type="character" w:styleId="UnresolvedMention">
    <w:name w:val="Unresolved Mention"/>
    <w:basedOn w:val="DefaultParagraphFont"/>
    <w:uiPriority w:val="99"/>
    <w:semiHidden/>
    <w:unhideWhenUsed/>
    <w:qFormat/>
    <w:rsid w:val="00666b95"/>
    <w:rPr>
      <w:color w:val="605E5C"/>
      <w:shd w:fill="E1DFDD" w:val="clear"/>
    </w:rPr>
  </w:style>
  <w:style w:type="character" w:styleId="Vnculodendiceuser" w:customStyle="1">
    <w:name w:val="Vínculo de índice (user)"/>
    <w:qFormat/>
    <w:rPr/>
  </w:style>
  <w:style w:type="character" w:styleId="Vnculodendice" w:customStyle="1">
    <w:name w:val="Vínculo de índice"/>
    <w:qFormat/>
    <w:rPr/>
  </w:style>
  <w:style w:type="character" w:styleId="Cdigo-fonte" w:customStyle="1">
    <w:name w:val="Código-fonte"/>
    <w:qFormat/>
    <w:rPr>
      <w:rFonts w:ascii="Liberation Mono" w:hAnsi="Liberation Mono" w:eastAsia="Liberation Mono" w:cs="Liberation Mono"/>
    </w:rPr>
  </w:style>
  <w:style w:type="character" w:styleId="Marcadores" w:customStyle="1">
    <w:name w:val="Marcadores"/>
    <w:qFormat/>
    <w:rPr>
      <w:rFonts w:ascii="OpenSymbol" w:hAnsi="OpenSymbol" w:eastAsia="OpenSymbol" w:cs="OpenSymbol"/>
    </w:rPr>
  </w:style>
  <w:style w:type="character" w:styleId="Smbolosdenumerao" w:customStyle="1">
    <w:name w:val="Símbolos de numeração"/>
    <w:qFormat/>
    <w:rPr/>
  </w:style>
  <w:style w:type="character" w:styleId="Cdigo-fonteuser" w:customStyle="1">
    <w:name w:val="Código-fonte (user)"/>
    <w:qFormat/>
    <w:rPr>
      <w:rFonts w:ascii="Liberation Mono" w:hAnsi="Liberation Mono" w:eastAsia="Liberation Mono" w:cs="Liberation Mono"/>
    </w:rPr>
  </w:style>
  <w:style w:type="character" w:styleId="Marcadoresuser">
    <w:name w:val="Marcadores (user)"/>
    <w:qFormat/>
    <w:rPr>
      <w:rFonts w:ascii="OpenSymbol" w:hAnsi="OpenSymbol" w:eastAsia="OpenSymbol" w:cs="OpenSymbol"/>
    </w:rPr>
  </w:style>
  <w:style w:type="character" w:styleId="Smbolosdenumeraouser">
    <w:name w:val="Símbolos de numeração (user)"/>
    <w:qFormat/>
    <w:rPr/>
  </w:style>
  <w:style w:type="paragraph" w:styleId="Ttulo" w:customStyle="1">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ndice" w:customStyle="1">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FreeSans"/>
    </w:rPr>
  </w:style>
  <w:style w:type="paragraph" w:styleId="Title">
    <w:name w:val="Title"/>
    <w:basedOn w:val="Normal"/>
    <w:next w:val="BodyText"/>
    <w:link w:val="TtuloChar"/>
    <w:uiPriority w:val="10"/>
    <w:qFormat/>
    <w:rsid w:val="00f16be5"/>
    <w:pPr>
      <w:spacing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tuloChar"/>
    <w:uiPriority w:val="11"/>
    <w:qFormat/>
    <w:rsid w:val="00f16be5"/>
    <w:pPr>
      <w:spacing w:before="0" w:after="160"/>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oChar"/>
    <w:uiPriority w:val="29"/>
    <w:qFormat/>
    <w:rsid w:val="00f16be5"/>
    <w:pPr>
      <w:spacing w:before="160" w:after="160"/>
      <w:jc w:val="center"/>
    </w:pPr>
    <w:rPr>
      <w:i/>
      <w:iCs/>
      <w:color w:themeColor="text1" w:themeTint="bf" w:val="404040"/>
    </w:rPr>
  </w:style>
  <w:style w:type="paragraph" w:styleId="ListParagraph">
    <w:name w:val="List Paragraph"/>
    <w:basedOn w:val="Normal"/>
    <w:uiPriority w:val="34"/>
    <w:qFormat/>
    <w:rsid w:val="00f16be5"/>
    <w:pPr>
      <w:spacing w:before="0" w:after="0"/>
      <w:ind w:left="720"/>
      <w:contextualSpacing/>
    </w:pPr>
    <w:rPr/>
  </w:style>
  <w:style w:type="paragraph" w:styleId="IntenseQuote">
    <w:name w:val="Intense Quote"/>
    <w:basedOn w:val="Normal"/>
    <w:next w:val="Normal"/>
    <w:link w:val="CitaoIntensaChar"/>
    <w:uiPriority w:val="30"/>
    <w:qFormat/>
    <w:rsid w:val="00f16be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f16be5"/>
    <w:pPr>
      <w:spacing w:beforeAutospacing="1" w:afterAutospacing="1"/>
    </w:pPr>
    <w:rPr>
      <w:rFonts w:ascii="Times New Roman" w:hAnsi="Times New Roman" w:eastAsia="Times New Roman" w:cs="Times New Roman"/>
      <w:kern w:val="0"/>
      <w:lang w:eastAsia="pt-BR"/>
    </w:rPr>
  </w:style>
  <w:style w:type="paragraph" w:styleId="HTMLPreformatted">
    <w:name w:val="HTML Preformatted"/>
    <w:basedOn w:val="Normal"/>
    <w:link w:val="Pr-formataoHTMLChar"/>
    <w:uiPriority w:val="99"/>
    <w:semiHidden/>
    <w:unhideWhenUsed/>
    <w:qFormat/>
    <w:rsid w:val="00f16be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kern w:val="0"/>
      <w:sz w:val="20"/>
      <w:szCs w:val="20"/>
      <w:lang w:eastAsia="pt-BR"/>
    </w:rPr>
  </w:style>
  <w:style w:type="paragraph" w:styleId="EndnoteText">
    <w:name w:val="endnote text"/>
    <w:basedOn w:val="Normal"/>
    <w:link w:val="TextodenotadefimChar"/>
    <w:uiPriority w:val="99"/>
    <w:semiHidden/>
    <w:unhideWhenUsed/>
    <w:rsid w:val="00105b03"/>
    <w:pPr/>
    <w:rPr>
      <w:sz w:val="20"/>
      <w:szCs w:val="20"/>
    </w:rPr>
  </w:style>
  <w:style w:type="paragraph" w:styleId="TOC1">
    <w:name w:val="toc 1"/>
    <w:basedOn w:val="Normal"/>
    <w:next w:val="Normal"/>
    <w:autoRedefine/>
    <w:uiPriority w:val="39"/>
    <w:unhideWhenUsed/>
    <w:rsid w:val="00227f18"/>
    <w:pPr>
      <w:spacing w:before="120" w:after="120"/>
    </w:pPr>
    <w:rPr>
      <w:rFonts w:ascii="Aptos" w:hAnsi="Aptos" w:asciiTheme="minorHAnsi" w:hAnsiTheme="minorHAnsi"/>
      <w:b/>
      <w:bCs/>
      <w:caps/>
      <w:sz w:val="20"/>
      <w:szCs w:val="20"/>
    </w:rPr>
  </w:style>
  <w:style w:type="paragraph" w:styleId="TOC2">
    <w:name w:val="toc 2"/>
    <w:basedOn w:val="Normal"/>
    <w:next w:val="Normal"/>
    <w:autoRedefine/>
    <w:uiPriority w:val="39"/>
    <w:unhideWhenUsed/>
    <w:rsid w:val="000a1925"/>
    <w:pPr>
      <w:tabs>
        <w:tab w:val="clear" w:pos="708"/>
        <w:tab w:val="right" w:pos="8494" w:leader="dot"/>
      </w:tabs>
      <w:ind w:left="240"/>
    </w:pPr>
    <w:rPr>
      <w:smallCaps/>
      <w:sz w:val="20"/>
      <w:szCs w:val="20"/>
    </w:rPr>
  </w:style>
  <w:style w:type="paragraph" w:styleId="TOC3">
    <w:name w:val="toc 3"/>
    <w:basedOn w:val="Normal"/>
    <w:next w:val="Normal"/>
    <w:autoRedefine/>
    <w:uiPriority w:val="39"/>
    <w:unhideWhenUsed/>
    <w:rsid w:val="00227f18"/>
    <w:pPr>
      <w:ind w:left="480"/>
    </w:pPr>
    <w:rPr>
      <w:rFonts w:ascii="Aptos" w:hAnsi="Aptos" w:asciiTheme="minorHAnsi" w:hAnsiTheme="minorHAnsi"/>
      <w:i/>
      <w:iCs/>
      <w:sz w:val="20"/>
      <w:szCs w:val="20"/>
    </w:rPr>
  </w:style>
  <w:style w:type="paragraph" w:styleId="TOC4">
    <w:name w:val="toc 4"/>
    <w:basedOn w:val="Normal"/>
    <w:next w:val="Normal"/>
    <w:autoRedefine/>
    <w:uiPriority w:val="39"/>
    <w:unhideWhenUsed/>
    <w:rsid w:val="00227f18"/>
    <w:pPr>
      <w:ind w:left="720"/>
    </w:pPr>
    <w:rPr>
      <w:rFonts w:ascii="Aptos" w:hAnsi="Aptos" w:asciiTheme="minorHAnsi" w:hAnsiTheme="minorHAnsi"/>
      <w:sz w:val="18"/>
      <w:szCs w:val="18"/>
    </w:rPr>
  </w:style>
  <w:style w:type="paragraph" w:styleId="TOC5">
    <w:name w:val="toc 5"/>
    <w:basedOn w:val="Normal"/>
    <w:next w:val="Normal"/>
    <w:autoRedefine/>
    <w:uiPriority w:val="39"/>
    <w:unhideWhenUsed/>
    <w:rsid w:val="00227f18"/>
    <w:pPr>
      <w:ind w:left="960"/>
    </w:pPr>
    <w:rPr>
      <w:rFonts w:ascii="Aptos" w:hAnsi="Aptos" w:asciiTheme="minorHAnsi" w:hAnsiTheme="minorHAnsi"/>
      <w:sz w:val="18"/>
      <w:szCs w:val="18"/>
    </w:rPr>
  </w:style>
  <w:style w:type="paragraph" w:styleId="TOC6">
    <w:name w:val="toc 6"/>
    <w:basedOn w:val="Normal"/>
    <w:next w:val="Normal"/>
    <w:autoRedefine/>
    <w:uiPriority w:val="39"/>
    <w:unhideWhenUsed/>
    <w:rsid w:val="00227f18"/>
    <w:pPr>
      <w:ind w:left="1200"/>
    </w:pPr>
    <w:rPr>
      <w:rFonts w:ascii="Aptos" w:hAnsi="Aptos" w:asciiTheme="minorHAnsi" w:hAnsiTheme="minorHAnsi"/>
      <w:sz w:val="18"/>
      <w:szCs w:val="18"/>
    </w:rPr>
  </w:style>
  <w:style w:type="paragraph" w:styleId="TOC7">
    <w:name w:val="toc 7"/>
    <w:basedOn w:val="Normal"/>
    <w:next w:val="Normal"/>
    <w:autoRedefine/>
    <w:uiPriority w:val="39"/>
    <w:unhideWhenUsed/>
    <w:rsid w:val="00227f18"/>
    <w:pPr>
      <w:ind w:left="1440"/>
    </w:pPr>
    <w:rPr>
      <w:rFonts w:ascii="Aptos" w:hAnsi="Aptos" w:asciiTheme="minorHAnsi" w:hAnsiTheme="minorHAnsi"/>
      <w:sz w:val="18"/>
      <w:szCs w:val="18"/>
    </w:rPr>
  </w:style>
  <w:style w:type="paragraph" w:styleId="TOC8">
    <w:name w:val="toc 8"/>
    <w:basedOn w:val="Normal"/>
    <w:next w:val="Normal"/>
    <w:autoRedefine/>
    <w:uiPriority w:val="39"/>
    <w:unhideWhenUsed/>
    <w:rsid w:val="00227f18"/>
    <w:pPr>
      <w:ind w:left="1680"/>
    </w:pPr>
    <w:rPr>
      <w:rFonts w:ascii="Aptos" w:hAnsi="Aptos" w:asciiTheme="minorHAnsi" w:hAnsiTheme="minorHAnsi"/>
      <w:sz w:val="18"/>
      <w:szCs w:val="18"/>
    </w:rPr>
  </w:style>
  <w:style w:type="paragraph" w:styleId="TOC9">
    <w:name w:val="toc 9"/>
    <w:basedOn w:val="Normal"/>
    <w:next w:val="Normal"/>
    <w:autoRedefine/>
    <w:uiPriority w:val="39"/>
    <w:unhideWhenUsed/>
    <w:rsid w:val="00227f18"/>
    <w:pPr>
      <w:ind w:left="1920"/>
    </w:pPr>
    <w:rPr>
      <w:rFonts w:ascii="Aptos" w:hAnsi="Aptos" w:asciiTheme="minorHAnsi" w:hAnsiTheme="minorHAnsi"/>
      <w:sz w:val="18"/>
      <w:szCs w:val="18"/>
    </w:rPr>
  </w:style>
  <w:style w:type="paragraph" w:styleId="Contedodoquadrouser" w:customStyle="1">
    <w:name w:val="Conteúdo do quadro (user)"/>
    <w:basedOn w:val="Normal"/>
    <w:qFormat/>
    <w:pPr/>
    <w:rPr/>
  </w:style>
  <w:style w:type="paragraph" w:styleId="Contedodatabelauser" w:customStyle="1">
    <w:name w:val="Conteúdo da tabela (user)"/>
    <w:basedOn w:val="Normal"/>
    <w:qFormat/>
    <w:pPr>
      <w:widowControl w:val="false"/>
      <w:suppressLineNumbers/>
    </w:pPr>
    <w:rPr/>
  </w:style>
  <w:style w:type="paragraph" w:styleId="Ttulodetabelauser" w:customStyle="1">
    <w:name w:val="Título de tabela (user)"/>
    <w:basedOn w:val="Contedodatabelauser"/>
    <w:qFormat/>
    <w:pPr>
      <w:jc w:val="center"/>
    </w:pPr>
    <w:rPr>
      <w:b/>
      <w:bCs/>
    </w:rPr>
  </w:style>
  <w:style w:type="paragraph" w:styleId="Contedodoquadro" w:customStyle="1">
    <w:name w:val="Conteúdo do quadro"/>
    <w:basedOn w:val="Normal"/>
    <w:qFormat/>
    <w:pPr/>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0958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C9363-E15A-4C1A-A12C-9B124CC21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4436</TotalTime>
  <Application>LibreOffice/26.2.5.2$Windows_X86_64 LibreOffice_project/cd7284b4cbbfeb507e630c1aac019f4157393acb</Application>
  <AppVersion>15.0000</AppVersion>
  <Pages>42</Pages>
  <Words>8175</Words>
  <Characters>47008</Characters>
  <CharactersWithSpaces>54349</CharactersWithSpaces>
  <Paragraphs>868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2026-05-16T00:08:00Z</dcterms:created>
  <dc:creator>ANDRE LUIZ FASSONE CANOVA</dc:creator>
  <dc:description/>
  <dc:language>pt-BR</dc:language>
  <cp:lastModifiedBy/>
  <dcterms:modified xsi:type="dcterms:W3CDTF">2026-08-24T20:51:54Z</dcterms:modified>
  <cp:revision>242</cp:revision>
  <dc:subject/>
  <dc:title/>
</cp:coreProperties>
</file>

<file path=docProps/custom.xml><?xml version="1.0" encoding="utf-8"?>
<Properties xmlns="http://schemas.openxmlformats.org/officeDocument/2006/custom-properties" xmlns:vt="http://schemas.openxmlformats.org/officeDocument/2006/docPropsVTypes"/>
</file>