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rPr>
        <w:t>PROVVEDIMENTO</w:t>
      </w:r>
    </w:p>
    <w:p>
      <w:pPr>
        <w:pStyle w:val="Normal"/>
        <w:rPr/>
      </w:pPr>
      <w:r>
        <w:rPr/>
        <w:t> </w:t>
      </w:r>
    </w:p>
    <w:p>
      <w:pPr>
        <w:pStyle w:val="Normal"/>
        <w:jc w:val="both"/>
        <w:rPr>
          <w:i/>
          <w:i/>
          <w:iCs/>
        </w:rPr>
      </w:pPr>
      <w:r>
        <w:rPr>
          <w:b/>
          <w:bCs/>
        </w:rPr>
        <w:t>OGGETTO</w:t>
      </w:r>
      <w:r>
        <w:rPr>
          <w:i/>
          <w:iCs/>
        </w:rPr>
        <w:t xml:space="preserve">: NOMINA DEL RESPONSABILE UNICO DEL PROGETTO AI SENSI DELL’ART. 15 E DELL’ALLEGATO I.2 DEL DECRETO LEGISLATIVO 31 MARZO 2023 N. 36 PER L’AFFIDAMENTO DEL </w:t>
      </w:r>
      <w:r>
        <w:rPr>
          <w:b/>
          <w:bCs/>
          <w:i/>
          <w:iCs/>
          <w:shd w:fill="FFFFFF" w:val="clear"/>
        </w:rPr>
        <w:t xml:space="preserve">{{fornitura_servizio}} </w:t>
      </w:r>
      <w:r>
        <w:rPr>
          <w:i/>
          <w:iCs/>
        </w:rPr>
        <w:t xml:space="preserve"> DI </w:t>
      </w:r>
      <w:r>
        <w:rPr>
          <w:b/>
          <w:bCs/>
          <w:i/>
          <w:iCs/>
          <w:shd w:fill="FFFFFF" w:val="clear"/>
        </w:rPr>
        <w:t>{{oggetto_fornitura_servizio}}</w:t>
      </w:r>
      <w:r>
        <w:rPr>
          <w:i/>
          <w:iCs/>
        </w:rPr>
        <w:t xml:space="preserve"> NELL’AMBITO DEL PROGETTO </w:t>
      </w:r>
      <w:r>
        <w:rPr>
          <w:b/>
          <w:bCs/>
          <w:i/>
          <w:iCs/>
          <w:shd w:fill="FFFFFF" w:val="clear"/>
        </w:rPr>
        <w:t xml:space="preserve">{{acronimo_progetto}} </w:t>
      </w:r>
      <w:r>
        <w:rPr>
          <w:i/>
          <w:iCs/>
        </w:rPr>
        <w:t xml:space="preserve"> CUP </w:t>
      </w:r>
      <w:r>
        <w:rPr>
          <w:b/>
          <w:bCs/>
          <w:i/>
          <w:iCs/>
          <w:shd w:fill="FFFFFF" w:val="clear"/>
        </w:rPr>
        <w:t xml:space="preserve">{{numero_CUP}} </w:t>
      </w:r>
      <w:r>
        <w:rPr>
          <w:i/>
          <w:iCs/>
        </w:rPr>
        <w:t> </w:t>
      </w:r>
      <w:r>
        <w:rPr/>
        <w:t xml:space="preserve">- </w:t>
      </w:r>
      <w:r>
        <w:rPr>
          <w:i/>
          <w:iCs/>
        </w:rPr>
        <w:t xml:space="preserve">url: </w:t>
      </w:r>
      <w:r>
        <w:rPr>
          <w:b/>
          <w:bCs/>
          <w:i/>
          <w:iCs/>
          <w:shd w:fill="FFFFFF" w:val="clear"/>
        </w:rPr>
        <w:t xml:space="preserve">{{url_gara}} </w:t>
      </w:r>
      <w:r>
        <w:rPr>
          <w:i/>
          <w:iCs/>
        </w:rPr>
        <w:t> </w:t>
      </w:r>
    </w:p>
    <w:p>
      <w:pPr>
        <w:pStyle w:val="Normal"/>
        <w:jc w:val="both"/>
        <w:rPr/>
      </w:pPr>
      <w:r>
        <w:rPr/>
        <w:t> </w:t>
      </w:r>
    </w:p>
    <w:p>
      <w:pPr>
        <w:pStyle w:val="Normal"/>
        <w:jc w:val="center"/>
        <w:rPr/>
      </w:pPr>
      <w:r>
        <w:rPr>
          <w:b/>
          <w:bCs/>
        </w:rPr>
        <w:t xml:space="preserve">IL DIRETTORE/RESPONSABILE DELLA SEDE SECONDARIA di </w:t>
      </w:r>
      <w:r>
        <w:rPr>
          <w:b/>
          <w:bCs/>
          <w:i/>
          <w:iCs/>
        </w:rPr>
        <w:t>{{</w:t>
      </w:r>
      <w:r>
        <w:rPr>
          <w:b/>
          <w:bCs/>
          <w:i/>
          <w:iCs/>
        </w:rPr>
        <w:t>sede</w:t>
      </w:r>
      <w:r>
        <w:rPr>
          <w:b/>
          <w:bCs/>
          <w:i/>
          <w:iCs/>
        </w:rPr>
        <w:t>_RUP}}</w:t>
      </w:r>
    </w:p>
    <w:p>
      <w:pPr>
        <w:pStyle w:val="Normal"/>
        <w:jc w:val="both"/>
        <w:rPr/>
      </w:pPr>
      <w:r>
        <w:rPr/>
        <w:t> </w:t>
      </w:r>
    </w:p>
    <w:p>
      <w:pPr>
        <w:pStyle w:val="Normal"/>
        <w:jc w:val="both"/>
        <w:rPr/>
      </w:pPr>
      <w:r>
        <w:rPr>
          <w:b/>
          <w:bCs/>
        </w:rPr>
        <w:t xml:space="preserve">VISTO </w:t>
      </w:r>
      <w:r>
        <w:rPr/>
        <w:t>il Decreto Legislativo del 4 giugno 2003, n. 127 recante “</w:t>
      </w:r>
      <w:r>
        <w:rPr>
          <w:i/>
          <w:iCs/>
        </w:rPr>
        <w:t>Riordino del Consiglio Nazionale delle Ricerche</w:t>
      </w:r>
      <w:r>
        <w:rPr/>
        <w:t>”; </w:t>
      </w:r>
    </w:p>
    <w:p>
      <w:pPr>
        <w:pStyle w:val="Normal"/>
        <w:jc w:val="both"/>
        <w:rPr/>
      </w:pPr>
      <w:r>
        <w:rPr>
          <w:b/>
          <w:bCs/>
        </w:rPr>
        <w:t xml:space="preserve">VISTO </w:t>
      </w:r>
      <w:r>
        <w:rPr/>
        <w:t>il d.lgs. 31 dicembre 2009 n. 213, recante “</w:t>
      </w:r>
      <w:r>
        <w:rPr>
          <w:i/>
          <w:iCs/>
        </w:rPr>
        <w:t>Riordino del Consiglio Nazionale delle Ricerche in attuazione</w:t>
      </w:r>
      <w:r>
        <w:rPr/>
        <w:t xml:space="preserve"> </w:t>
      </w:r>
      <w:r>
        <w:rPr>
          <w:i/>
          <w:iCs/>
        </w:rPr>
        <w:t>dell’articolo 1 della Legge 27 settembre 2007, n. 165</w:t>
      </w:r>
      <w:r>
        <w:rPr/>
        <w:t>”; </w:t>
      </w:r>
    </w:p>
    <w:p>
      <w:pPr>
        <w:pStyle w:val="Normal"/>
        <w:jc w:val="both"/>
        <w:rPr/>
      </w:pPr>
      <w:r>
        <w:rPr>
          <w:b/>
          <w:bCs/>
        </w:rPr>
        <w:t xml:space="preserve">VISTO </w:t>
      </w:r>
      <w:r>
        <w:rPr/>
        <w:t>il d.lgs. 25 novembre 2016 n. 218, recante “</w:t>
      </w:r>
      <w:r>
        <w:rPr>
          <w:i/>
          <w:iCs/>
        </w:rPr>
        <w:t>Semplificazione delle attività degli enti pubblici di ricerca ai sensi dell'articolo 13 della legge 7 agosto 2015, n. 124</w:t>
      </w:r>
      <w:r>
        <w:rPr/>
        <w:t>”; </w:t>
      </w:r>
    </w:p>
    <w:p>
      <w:pPr>
        <w:pStyle w:val="Normal"/>
        <w:jc w:val="both"/>
        <w:rPr/>
      </w:pPr>
      <w:r>
        <w:rPr>
          <w:b/>
          <w:bCs/>
        </w:rPr>
        <w:t xml:space="preserve">VISTA </w:t>
      </w:r>
      <w:r>
        <w:rPr/>
        <w:t>la legge 7 agosto 1990, n. 241 recante “</w:t>
      </w:r>
      <w:r>
        <w:rPr>
          <w:i/>
          <w:iCs/>
        </w:rPr>
        <w:t>Nuove norme in materia di procedimento amministrativo e di diritto di accesso ai documenti amministrativi</w:t>
      </w:r>
      <w:r>
        <w:rPr/>
        <w:t>” pubblicata sulla Gazzetta Ufficiale n. 192 del 18/08/1990 e s.m.i.; </w:t>
      </w:r>
    </w:p>
    <w:p>
      <w:pPr>
        <w:pStyle w:val="Normal"/>
        <w:jc w:val="both"/>
        <w:rPr/>
      </w:pPr>
      <w:r>
        <w:rPr>
          <w:b/>
          <w:bCs/>
        </w:rPr>
        <w:t xml:space="preserve">VISTO </w:t>
      </w:r>
      <w:r>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 </w:t>
      </w:r>
    </w:p>
    <w:p>
      <w:pPr>
        <w:pStyle w:val="Normal"/>
        <w:jc w:val="both"/>
        <w:rPr/>
      </w:pPr>
      <w:r>
        <w:rPr>
          <w:b/>
          <w:bCs/>
        </w:rPr>
        <w:t xml:space="preserve">VISTO </w:t>
      </w:r>
      <w:r>
        <w:rPr/>
        <w:t>il Regolamento di Organizzazione e Funzionamento del Consiglio Nazionale delle Ricerche - DPCNR n. 119 prot. n. 241776 del 10 luglio 2024, entrato in vigore dal 1° agosto 2024; </w:t>
      </w:r>
    </w:p>
    <w:p>
      <w:pPr>
        <w:pStyle w:val="Normal"/>
        <w:jc w:val="both"/>
        <w:rPr/>
      </w:pPr>
      <w:r>
        <w:rPr>
          <w:b/>
          <w:bCs/>
        </w:rPr>
        <w:t xml:space="preserve">VISTO </w:t>
      </w:r>
      <w:r>
        <w:rPr/>
        <w:t>il Regolamento del personale del Consiglio Nazionale delle Ricerche emanato con decreto del Presidente prot. n. 25035 in data 4 maggio 2005, pubblicato nel Supplemento ordinario n. 101 alla Gazzetta Ufficiale della Repubblica Italiana n. 124 del 30 maggio 2005; </w:t>
      </w:r>
    </w:p>
    <w:p>
      <w:pPr>
        <w:pStyle w:val="Normal"/>
        <w:jc w:val="both"/>
        <w:rPr/>
      </w:pPr>
      <w:r>
        <w:rPr>
          <w:b/>
          <w:bCs/>
        </w:rPr>
        <w:t xml:space="preserve">VISTO </w:t>
      </w:r>
      <w:r>
        <w:rPr/>
        <w:t>il D.lgs. 31 marzo 2023, n. 36 rubricato “</w:t>
      </w:r>
      <w:r>
        <w:rPr>
          <w:i/>
          <w:iCs/>
        </w:rPr>
        <w:t>Codice dei Contratti Pubblici in attuazione dell’articolo 1 della legge 21 giugno 2022, n. 78, recante delega al Governo in materia di contratti pubblici</w:t>
      </w:r>
      <w:r>
        <w:rPr/>
        <w:t>”, pubblicato sul Supplemento Ordinario n. 12 della GU n. 77 del 31 marzo 2023 (nel seguito per brevità “Codice”); </w:t>
      </w:r>
    </w:p>
    <w:p>
      <w:pPr>
        <w:pStyle w:val="Normal"/>
        <w:jc w:val="both"/>
        <w:rPr/>
      </w:pPr>
      <w:r>
        <w:rPr>
          <w:b/>
          <w:bCs/>
        </w:rPr>
        <w:t xml:space="preserve">VISTO </w:t>
      </w:r>
      <w:r>
        <w:rPr/>
        <w:t>il D.lgs. 31 dicembre 2024, n. 209 rubricato</w:t>
      </w:r>
      <w:r>
        <w:rPr>
          <w:i/>
          <w:iCs/>
        </w:rPr>
        <w:t xml:space="preserve"> “Disposizioni integrative e correttive al codice dei contratti pubblici, di cui al decreto legislativo 31 marzo 2023, n. 36”, </w:t>
      </w:r>
      <w:r>
        <w:rPr/>
        <w:t>pubblicato sul Supplemento Ordinario n.45/L della GU n. 305 del 31 dicembre 2024</w:t>
      </w:r>
      <w:r>
        <w:rPr>
          <w:i/>
          <w:iCs/>
        </w:rPr>
        <w:t>;</w:t>
      </w:r>
      <w:r>
        <w:rPr/>
        <w:t> </w:t>
      </w:r>
    </w:p>
    <w:p>
      <w:pPr>
        <w:pStyle w:val="Normal"/>
        <w:jc w:val="both"/>
        <w:rPr/>
      </w:pPr>
      <w:r>
        <w:rPr>
          <w:b/>
          <w:bCs/>
        </w:rPr>
        <w:t>VISTO</w:t>
      </w:r>
      <w:r>
        <w:rPr/>
        <w:t xml:space="preserve"> il provvedimento del Direttore Generale CNR n. 193/2024 del 18/12/2024 con cui il Dott. Beniamino Gioli è stato nominato Direttore dell’Istituto per la BioEconomia del Consiglio Nazionale delle Ricerche, a decorrere dal 1° gennaio 2025, per la durata di quattro anni; </w:t>
      </w:r>
    </w:p>
    <w:p>
      <w:pPr>
        <w:pStyle w:val="Normal"/>
        <w:jc w:val="both"/>
        <w:rPr/>
      </w:pPr>
      <w:r>
        <w:rPr/>
      </w:r>
    </w:p>
    <w:p>
      <w:pPr>
        <w:pStyle w:val="Normal"/>
        <w:bidi w:val="0"/>
        <w:rPr>
          <w:rFonts w:ascii="Calibri" w:hAnsi="Calibri"/>
          <w:b w:val="false"/>
          <w:i w:val="false"/>
          <w:i w:val="false"/>
          <w:strike w:val="false"/>
          <w:dstrike w:val="false"/>
          <w:outline w:val="false"/>
          <w:shadow w:val="false"/>
          <w:sz w:val="22"/>
          <w:u w:val="none"/>
          <w:em w:val="none"/>
        </w:rPr>
      </w:pPr>
      <w:r>
        <w:rPr>
          <w:b w:val="false"/>
          <w:i w:val="false"/>
          <w:strike w:val="false"/>
          <w:dstrike w:val="false"/>
          <w:outline w:val="false"/>
          <w:shadow w:val="false"/>
          <w:sz w:val="22"/>
          <w:u w:val="none"/>
          <w:em w:val="none"/>
        </w:rPr>
        <w:t>{{RSS_decreto_sede}}</w:t>
      </w:r>
    </w:p>
    <w:p>
      <w:pPr>
        <w:pStyle w:val="Normal"/>
        <w:jc w:val="both"/>
        <w:rPr/>
      </w:pPr>
      <w:r>
        <w:rPr/>
      </w:r>
    </w:p>
    <w:p>
      <w:pPr>
        <w:pStyle w:val="Normal"/>
        <w:jc w:val="both"/>
        <w:rPr/>
      </w:pPr>
      <w:r>
        <w:rPr/>
        <w:commentReference w:id="0"/>
      </w:r>
    </w:p>
    <w:p>
      <w:pPr>
        <w:pStyle w:val="Normal"/>
        <w:jc w:val="both"/>
        <w:rPr/>
      </w:pPr>
      <w:r>
        <w:rPr/>
        <w:t> </w:t>
      </w:r>
    </w:p>
    <w:p>
      <w:pPr>
        <w:pStyle w:val="Normal"/>
        <w:jc w:val="both"/>
        <w:rPr/>
      </w:pPr>
      <w:r>
        <w:rPr>
          <w:b/>
          <w:bCs/>
        </w:rPr>
        <w:t xml:space="preserve">VISTO </w:t>
      </w:r>
      <w:r>
        <w:rPr/>
        <w:t>il Codice di comportamento dei dipendenti del Consiglio Nazionale delle Ricerche approvato con delibera del Consiglio di Amministrazione n° 137/2017; </w:t>
      </w:r>
    </w:p>
    <w:p>
      <w:pPr>
        <w:pStyle w:val="Normal"/>
        <w:jc w:val="both"/>
        <w:rPr/>
      </w:pPr>
      <w:r>
        <w:rPr>
          <w:b/>
          <w:bCs/>
        </w:rPr>
        <w:t xml:space="preserve">VISTO </w:t>
      </w:r>
      <w:r>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 </w:t>
      </w:r>
    </w:p>
    <w:p>
      <w:pPr>
        <w:pStyle w:val="Normal"/>
        <w:jc w:val="both"/>
        <w:rPr/>
      </w:pPr>
      <w:r>
        <w:rPr>
          <w:b/>
          <w:bCs/>
        </w:rPr>
        <w:t xml:space="preserve">VISTO </w:t>
      </w:r>
      <w:r>
        <w:rPr/>
        <w:t>l’art. 15, comma 1, del Codice il quale dispone che “</w:t>
      </w:r>
      <w:r>
        <w:rPr>
          <w:i/>
          <w:iCs/>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r>
        <w:rPr/>
        <w:t> </w:t>
      </w:r>
    </w:p>
    <w:p>
      <w:pPr>
        <w:pStyle w:val="Normal"/>
        <w:jc w:val="both"/>
        <w:rPr/>
      </w:pPr>
      <w:r>
        <w:rPr>
          <w:b/>
          <w:bCs/>
        </w:rPr>
        <w:t>CONSIDERATO</w:t>
      </w:r>
      <w:r>
        <w:rPr/>
        <w:t xml:space="preserve"> che, a tenore del comma 2, del già richiamato art. 15 del Codice “</w:t>
      </w:r>
      <w:r>
        <w:rPr>
          <w:i/>
          <w:iCs/>
        </w:rPr>
        <w:t xml:space="preserve">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 ….OMISSIS…. Resta in ogni caso ferma la possibilità per le S.A., in caso di accertata carenza nel proprio organico di personale in possesso dei requisiti di cui all’Allegato I.2, di nominare il RUP tra i dipendenti di altre amministrazioni pubbliche. </w:t>
      </w:r>
      <w:r>
        <w:rPr/>
        <w:t>”</w:t>
      </w:r>
      <w:r>
        <w:rPr>
          <w:i/>
          <w:iCs/>
        </w:rPr>
        <w:t>;</w:t>
      </w:r>
      <w:r>
        <w:rPr/>
        <w:t> </w:t>
      </w:r>
    </w:p>
    <w:p>
      <w:pPr>
        <w:pStyle w:val="Normal"/>
        <w:jc w:val="both"/>
        <w:rPr/>
      </w:pPr>
      <w:r>
        <w:rPr>
          <w:b/>
          <w:bCs/>
        </w:rPr>
        <w:t xml:space="preserve">VISTO </w:t>
      </w:r>
      <w:r>
        <w:rPr/>
        <w:t>l’allegato I.2 del Codice, recante “</w:t>
      </w:r>
      <w:r>
        <w:rPr>
          <w:i/>
          <w:iCs/>
        </w:rPr>
        <w:t>Attività del RUP (Art. 15, comma 5, del Codice)</w:t>
      </w:r>
      <w:r>
        <w:rPr/>
        <w:t>”, riguardante la nomina i requisiti e i compiti del responsabile unico del progetto (RUP) per l’affidamento di appalti e concessioni, ai sensi dell’articolo 15, comma 5, del Codice; </w:t>
      </w:r>
    </w:p>
    <w:p>
      <w:pPr>
        <w:pStyle w:val="Normal"/>
        <w:jc w:val="both"/>
        <w:rPr/>
      </w:pPr>
      <w:r>
        <w:rPr>
          <w:b/>
          <w:bCs/>
        </w:rPr>
        <w:t xml:space="preserve">VISTA </w:t>
      </w:r>
      <w:r>
        <w:rPr/>
        <w:t xml:space="preserve">la richiesta di acquisto pervenuta dal dott.{{ nome_cognome_richiedente}} relativa alla necessità di procedere all’acquisizione del servizio/fornitura di </w:t>
      </w:r>
      <w:r>
        <w:rPr>
          <w:b/>
          <w:bCs/>
          <w:i/>
          <w:iCs/>
          <w:shd w:fill="FFFFFF" w:val="clear"/>
        </w:rPr>
        <w:t>{{oggetto_fornitura_servizio}}</w:t>
      </w:r>
      <w:r>
        <w:rPr>
          <w:i/>
          <w:iCs/>
        </w:rPr>
        <w:t xml:space="preserve"> </w:t>
      </w:r>
      <w:r>
        <w:rPr/>
        <w:t xml:space="preserve"> nell’ambito del Progetto  </w:t>
      </w:r>
      <w:r>
        <w:rPr>
          <w:b/>
          <w:bCs/>
          <w:i/>
          <w:iCs/>
          <w:shd w:fill="FFFFFF" w:val="clear"/>
        </w:rPr>
        <w:t>{{acronimo_progetto}}</w:t>
      </w:r>
      <w:r>
        <w:rPr>
          <w:i/>
          <w:iCs/>
        </w:rPr>
        <w:t xml:space="preserve"> </w:t>
      </w:r>
      <w:r>
        <w:rPr/>
        <w:t xml:space="preserve">, mediante affidamento diretto all’operatore economico  </w:t>
      </w:r>
      <w:r>
        <w:rPr>
          <w:b/>
          <w:bCs/>
          <w:i/>
          <w:iCs/>
          <w:shd w:fill="FFFFFF" w:val="clear"/>
        </w:rPr>
        <w:t>{{nome_ditta_scelta}}</w:t>
      </w:r>
      <w:r>
        <w:rPr>
          <w:i/>
          <w:iCs/>
        </w:rPr>
        <w:t xml:space="preserve"> </w:t>
      </w:r>
      <w:r>
        <w:rPr/>
        <w:t xml:space="preserve">, per un importo presunto di euro </w:t>
      </w:r>
      <w:r>
        <w:rPr>
          <w:b/>
          <w:bCs/>
          <w:i/>
          <w:iCs/>
          <w:shd w:fill="FFFFFF" w:val="clear"/>
        </w:rPr>
        <w:t>{{importo_massimo}}</w:t>
      </w:r>
      <w:r>
        <w:rPr/>
        <w:t xml:space="preserve">, comprensivo di euro </w:t>
      </w:r>
      <w:r>
        <w:rPr>
          <w:b/>
          <w:bCs/>
          <w:i/>
          <w:iCs/>
          <w:shd w:fill="FFFFFF" w:val="clear"/>
        </w:rPr>
        <w:t>{{importo_oneri_sicurezza}}</w:t>
      </w:r>
      <w:r>
        <w:rPr/>
        <w:t xml:space="preserve"> quali oneri per la sicurezza dovuti a rischi da interferenze, oltre IVA e di altre imposte e contributi di legge; </w:t>
      </w:r>
    </w:p>
    <w:p>
      <w:pPr>
        <w:pStyle w:val="Normal"/>
        <w:jc w:val="both"/>
        <w:rPr/>
      </w:pPr>
      <w:r>
        <w:rPr>
          <w:b/>
          <w:bCs/>
        </w:rPr>
        <w:t>CONSIDERATA</w:t>
      </w:r>
      <w:r>
        <w:rPr/>
        <w:t>, pertanto, la necessità di procedere alla nomina del Responsabile Unico del Progetto per la progettazione, affidamento e esecuzione di una procedura di affidamento dei servizi /forniture di ________ ; </w:t>
      </w:r>
    </w:p>
    <w:p>
      <w:pPr>
        <w:pStyle w:val="Normal"/>
        <w:jc w:val="both"/>
        <w:rPr/>
      </w:pPr>
      <w:r>
        <w:rPr/>
        <w:t> </w:t>
      </w:r>
    </w:p>
    <w:p>
      <w:pPr>
        <w:pStyle w:val="Normal"/>
        <w:jc w:val="both"/>
        <w:rPr/>
      </w:pPr>
      <w:r>
        <w:rPr>
          <w:b/>
          <w:bCs/>
        </w:rPr>
        <w:t xml:space="preserve">CONSIDERATO </w:t>
      </w:r>
      <w:r>
        <w:rPr/>
        <w:t>che,</w:t>
      </w:r>
      <w:r>
        <w:rPr>
          <w:b/>
          <w:bCs/>
        </w:rPr>
        <w:t xml:space="preserve"> </w:t>
      </w:r>
      <w:r>
        <w:rPr/>
        <w:t>il soggetto nominando è dipendente dell’Ente committente ed è in possesso della necessaria esperienza e qualificazione prevista dall’allegato I.2 del Codice sopra richiamato; </w:t>
      </w:r>
    </w:p>
    <w:p>
      <w:pPr>
        <w:pStyle w:val="Normal"/>
        <w:jc w:val="both"/>
        <w:rPr/>
      </w:pPr>
      <w:r>
        <w:rPr/>
        <w:t> </w:t>
      </w:r>
    </w:p>
    <w:p>
      <w:pPr>
        <w:pStyle w:val="Normal"/>
        <w:jc w:val="center"/>
        <w:rPr/>
      </w:pPr>
      <w:r>
        <w:rPr>
          <w:b/>
          <w:bCs/>
        </w:rPr>
        <w:t>DISPONE</w:t>
      </w:r>
      <w:r>
        <w:rPr/>
        <w:t> </w:t>
        <w:br/>
        <w:t> </w:t>
      </w:r>
    </w:p>
    <w:p>
      <w:pPr>
        <w:pStyle w:val="Normal"/>
        <w:numPr>
          <w:ilvl w:val="0"/>
          <w:numId w:val="1"/>
        </w:numPr>
        <w:jc w:val="both"/>
        <w:rPr/>
      </w:pPr>
      <w:r>
        <w:rPr>
          <w:b/>
          <w:bCs/>
        </w:rPr>
        <w:t>DI NOMINARE</w:t>
      </w:r>
      <w:r>
        <w:rPr/>
        <w:t xml:space="preserve"> il {{nome_cognome_RUP}} / [</w:t>
      </w:r>
      <w:r>
        <w:rPr>
          <w:b/>
          <w:bCs/>
        </w:rPr>
        <w:t>DI ASSUMERE</w:t>
      </w:r>
      <w:r>
        <w:rPr/>
        <w:t xml:space="preserve"> il ruolo di] Responsabile Unico del Progetto il quale, ai sensi dell'art. 15 del Codice, dovrà: </w:t>
      </w:r>
    </w:p>
    <w:p>
      <w:pPr>
        <w:pStyle w:val="Normal"/>
        <w:numPr>
          <w:ilvl w:val="0"/>
          <w:numId w:val="2"/>
        </w:numPr>
        <w:jc w:val="both"/>
        <w:rPr/>
      </w:pPr>
      <w:r>
        <w:rPr/>
        <w:t>svolgere tutte le attività indicate nell’allegato I.2 del Codice, o che siano comunque necessarie ove non di competenza di altri organi; </w:t>
      </w:r>
    </w:p>
    <w:p>
      <w:pPr>
        <w:pStyle w:val="Normal"/>
        <w:numPr>
          <w:ilvl w:val="0"/>
          <w:numId w:val="3"/>
        </w:numPr>
        <w:jc w:val="both"/>
        <w:rPr/>
      </w:pPr>
      <w:r>
        <w:rPr/>
        <w:t xml:space="preserve"> </w:t>
      </w:r>
      <w:r>
        <w:rPr/>
        <w:t>individuare il CCNL, in base all’/alle attività oggetto dell’appalto svolta/e dall’impresa, in conformità al comma 1 dell’art.11 e allegato 1.01 del Codice, nonché ai sensi del comma 2-bis dell’art.11 del Codice; </w:t>
      </w:r>
    </w:p>
    <w:p>
      <w:pPr>
        <w:pStyle w:val="Normal"/>
        <w:numPr>
          <w:ilvl w:val="0"/>
          <w:numId w:val="4"/>
        </w:numPr>
        <w:jc w:val="both"/>
        <w:rPr/>
      </w:pPr>
      <w:r>
        <w:rPr/>
        <w:t>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individuato;  </w:t>
      </w:r>
    </w:p>
    <w:p>
      <w:pPr>
        <w:pStyle w:val="Normal"/>
        <w:numPr>
          <w:ilvl w:val="0"/>
          <w:numId w:val="5"/>
        </w:numPr>
        <w:jc w:val="both"/>
        <w:rPr/>
      </w:pPr>
      <w:r>
        <w:rPr/>
        <w:t>procedere, di concerto con la stazione appaltante, al completamento della documentazione; </w:t>
      </w:r>
    </w:p>
    <w:p>
      <w:pPr>
        <w:pStyle w:val="Normal"/>
        <w:numPr>
          <w:ilvl w:val="0"/>
          <w:numId w:val="6"/>
        </w:numPr>
        <w:jc w:val="both"/>
        <w:rPr/>
      </w:pPr>
      <w:r>
        <w:rPr/>
        <w:t>procedere all’acquisizione del Codice Identificativo Gara (CIG) tramite la piattaforma telematica di negoziazione e di tutti gli altri adempimenti previsti dalla normativa vigente in materia di contratti pubblici e di digitalizzazione degli appalti; </w:t>
      </w:r>
    </w:p>
    <w:p>
      <w:pPr>
        <w:pStyle w:val="Normal"/>
        <w:numPr>
          <w:ilvl w:val="0"/>
          <w:numId w:val="7"/>
        </w:numPr>
        <w:jc w:val="both"/>
        <w:rPr/>
      </w:pPr>
      <w:r>
        <w:rPr/>
        <w:t>rilasciare apposita dichiarazione, rispetto al ruolo ricoperto ed alle funzioni svolte, nella quale attesti di non trovarsi in alcuna delle situazioni di conflitto di interessi, anche potenziale, di cui all’art. 16 del D.lgs. n. 36/2023. </w:t>
      </w:r>
    </w:p>
    <w:p>
      <w:pPr>
        <w:pStyle w:val="Normal"/>
        <w:jc w:val="both"/>
        <w:rPr/>
      </w:pPr>
      <w:r>
        <w:rPr/>
        <w:t> </w:t>
      </w:r>
    </w:p>
    <w:p>
      <w:pPr>
        <w:pStyle w:val="Normal"/>
        <w:numPr>
          <w:ilvl w:val="0"/>
          <w:numId w:val="8"/>
        </w:numPr>
        <w:jc w:val="both"/>
        <w:rPr/>
      </w:pPr>
      <w:r>
        <w:rPr>
          <w:i/>
          <w:iCs/>
        </w:rPr>
        <w:t>(</w:t>
      </w:r>
      <w:r>
        <w:rPr>
          <w:i/>
          <w:iCs/>
          <w:highlight w:val="yellow"/>
        </w:rPr>
        <w:t>eventuale</w:t>
      </w:r>
      <w:r>
        <w:rPr>
          <w:i/>
          <w:iCs/>
        </w:rPr>
        <w:t>)</w:t>
      </w:r>
      <w:r>
        <w:rPr/>
        <w:t xml:space="preserve"> </w:t>
      </w:r>
      <w:r>
        <w:rPr>
          <w:b/>
          <w:bCs/>
        </w:rPr>
        <w:t>DI INDIVIDUARE</w:t>
      </w:r>
      <w:r>
        <w:rPr/>
        <w:t xml:space="preserve"> ai sensi dell'art. 15, comma 6, del Codice, il [</w:t>
      </w:r>
      <w:r>
        <w:rPr>
          <w:highlight w:val="yellow"/>
        </w:rPr>
        <w:t>completare</w:t>
      </w:r>
      <w:r>
        <w:rPr/>
        <w:t>] o il gruppo di lavoro [</w:t>
      </w:r>
      <w:r>
        <w:rPr>
          <w:highlight w:val="yellow"/>
        </w:rPr>
        <w:t>completare</w:t>
      </w:r>
      <w:r>
        <w:rPr/>
        <w:t>] in qualità di supporto al RUP, fermo restando i compiti e le mansioni a cui gli stessi sono già assegnati; </w:t>
      </w:r>
    </w:p>
    <w:p>
      <w:pPr>
        <w:pStyle w:val="Normal"/>
        <w:numPr>
          <w:ilvl w:val="0"/>
          <w:numId w:val="9"/>
        </w:numPr>
        <w:jc w:val="both"/>
        <w:rPr/>
      </w:pPr>
      <w:r>
        <w:rPr>
          <w:b/>
          <w:bCs/>
        </w:rPr>
        <w:t>LA TRASMISSIONE</w:t>
      </w:r>
      <w:r>
        <w:rPr/>
        <w:t xml:space="preserve"> del presente atto ai dipendenti indicati ai precedenti punti da valere ai fini della notifica e accettazione. </w:t>
      </w:r>
    </w:p>
    <w:p>
      <w:pPr>
        <w:pStyle w:val="Normal"/>
        <w:jc w:val="both"/>
        <w:rPr/>
      </w:pPr>
      <w:r>
        <w:rPr/>
        <w:t> </w:t>
      </w:r>
    </w:p>
    <w:p>
      <w:pPr>
        <w:pStyle w:val="Normal"/>
        <w:jc w:val="both"/>
        <w:rPr/>
      </w:pPr>
      <w:r>
        <w:rPr/>
        <w:t> </w:t>
      </w:r>
    </w:p>
    <w:p>
      <w:pPr>
        <w:pStyle w:val="Normal"/>
        <w:jc w:val="both"/>
        <w:rPr/>
      </w:pPr>
      <w:r>
        <w:rPr/>
        <w:t> </w:t>
      </w:r>
    </w:p>
    <w:p>
      <w:pPr>
        <w:pStyle w:val="Normal"/>
        <w:jc w:val="both"/>
        <w:rPr/>
      </w:pPr>
      <w:r>
        <w:rPr/>
        <w:t> </w:t>
      </w:r>
    </w:p>
    <w:p>
      <w:pPr>
        <w:pStyle w:val="Normal"/>
        <w:jc w:val="both"/>
        <w:rPr/>
      </w:pPr>
      <w:r>
        <w:rPr/>
        <w:t> </w:t>
      </w:r>
    </w:p>
    <w:p>
      <w:pPr>
        <w:pStyle w:val="Normal"/>
        <w:ind w:left="4956"/>
        <w:jc w:val="center"/>
        <w:rPr/>
      </w:pPr>
      <w:r>
        <w:rPr>
          <w:b/>
          <w:bCs/>
        </w:rPr>
        <w:t>Il Direttore</w:t>
      </w:r>
      <w:r>
        <w:rPr/>
        <w:t xml:space="preserve">/ </w:t>
      </w:r>
      <w:r>
        <w:rPr>
          <w:b/>
          <w:bCs/>
        </w:rPr>
        <w:t>Responsabile della Sede Secondaria</w:t>
      </w:r>
    </w:p>
    <w:p>
      <w:pPr>
        <w:pStyle w:val="Normal"/>
        <w:ind w:left="4956"/>
        <w:jc w:val="center"/>
        <w:rPr/>
      </w:pPr>
      <w:r>
        <w:rPr/>
        <w:t>(nome e cognome)</w:t>
      </w:r>
    </w:p>
    <w:p>
      <w:pPr>
        <w:pStyle w:val="Normal"/>
        <w:jc w:val="bot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e sconosciuto" w:date="2025-07-02T17:01:28Z" w:initials="">
    <w:p>
      <w:pPr>
        <w:overflowPunct w:val="true"/>
        <w:bidi w:val="0"/>
        <w:spacing w:before="0" w:after="0"/>
        <w:jc w:val="both"/>
        <w:rPr/>
      </w:pPr>
      <w:r>
        <w:rPr>
          <w:rFonts w:ascii="Calibri" w:hAnsi="Calibri" w:eastAsia="Calibri" w:cs="Calibri"/>
          <w:color w:val="auto"/>
          <w:sz w:val="22"/>
          <w:szCs w:val="22"/>
          <w:lang w:val="it-IT" w:eastAsia="en-US" w:bidi="ar-SA"/>
        </w:rPr>
        <w:t xml:space="preserve">RSS BO </w:t>
      </w:r>
      <w:r>
        <w:rPr>
          <w:rFonts w:ascii="Calibri" w:hAnsi="Calibri" w:eastAsia="Calibri" w:cs="Calibri"/>
          <w:b/>
          <w:bCs/>
          <w:color w:val="auto"/>
          <w:sz w:val="22"/>
          <w:szCs w:val="22"/>
          <w:lang w:val="it-IT" w:eastAsia="en-US" w:bidi="ar-SA"/>
        </w:rPr>
        <w:t>VISTO</w:t>
      </w:r>
      <w:r>
        <w:rPr>
          <w:rFonts w:ascii="Calibri" w:hAnsi="Calibri" w:eastAsia="Calibri" w:cs="Calibri"/>
          <w:color w:val="auto"/>
          <w:sz w:val="22"/>
          <w:szCs w:val="22"/>
          <w:lang w:val="it-IT" w:eastAsia="en-US" w:bidi="ar-SA"/>
        </w:rPr>
        <w:t xml:space="preserve"> il provvedimento prot. n. 0022348 del 27.01.2025 relativo al conferimento dell’incarico del Dott.ssa Camilla Chieco di Responsabile delegato alla gestione della sede secondaria di Bologna dell’Istituto per la BioEconomia, con decorrenza dal 01.02.2025; </w:t>
      </w:r>
    </w:p>
    <w:p>
      <w:pPr>
        <w:overflowPunct w:val="true"/>
        <w:bidi w:val="0"/>
        <w:spacing w:before="0" w:after="0"/>
        <w:jc w:val="both"/>
        <w:rPr/>
      </w:pPr>
      <w:r>
        <w:rPr>
          <w:rFonts w:ascii="Calibri" w:hAnsi="Calibri" w:eastAsia="Calibri" w:cs="Calibri"/>
          <w:color w:val="auto"/>
          <w:sz w:val="22"/>
          <w:szCs w:val="22"/>
          <w:lang w:val="it-IT" w:eastAsia="en-US" w:bidi="ar-SA"/>
        </w:rPr>
        <w:t xml:space="preserve">RSS CT </w:t>
      </w:r>
      <w:r>
        <w:rPr>
          <w:rFonts w:ascii="Calibri" w:hAnsi="Calibri" w:eastAsia="Calibri" w:cs="Calibri"/>
          <w:b/>
          <w:bCs/>
          <w:color w:val="auto"/>
          <w:sz w:val="22"/>
          <w:szCs w:val="22"/>
          <w:lang w:val="it-IT" w:eastAsia="en-US" w:bidi="ar-SA"/>
        </w:rPr>
        <w:t>VISTO</w:t>
      </w:r>
      <w:r>
        <w:rPr>
          <w:rFonts w:ascii="Calibri" w:hAnsi="Calibri" w:eastAsia="Calibri" w:cs="Calibri"/>
          <w:color w:val="auto"/>
          <w:sz w:val="22"/>
          <w:szCs w:val="22"/>
          <w:lang w:val="it-IT" w:eastAsia="en-US" w:bidi="ar-SA"/>
        </w:rPr>
        <w:t xml:space="preserve"> il provvedimento prot. n. 0000388 del 02.01.2025 relativo al conferimento dell’incarico del Dott. Ezio Riggi di Responsabile delegato alla gestione della sede secondaria di Catania dell’Istituto per la BioEconomia, con decorrenza dal 01.01.2025; </w:t>
      </w:r>
    </w:p>
    <w:p>
      <w:pPr>
        <w:overflowPunct w:val="true"/>
        <w:bidi w:val="0"/>
        <w:spacing w:before="0" w:after="0"/>
        <w:jc w:val="both"/>
        <w:rPr/>
      </w:pPr>
      <w:r>
        <w:rPr>
          <w:rFonts w:ascii="Calibri" w:hAnsi="Calibri" w:eastAsia="Calibri" w:cs="Calibri"/>
          <w:color w:val="auto"/>
          <w:sz w:val="22"/>
          <w:szCs w:val="22"/>
          <w:lang w:val="it-IT" w:eastAsia="en-US" w:bidi="ar-SA"/>
        </w:rPr>
        <w:t xml:space="preserve">RSS RM </w:t>
      </w:r>
      <w:r>
        <w:rPr>
          <w:rFonts w:ascii="Calibri" w:hAnsi="Calibri" w:eastAsia="Calibri" w:cs="Calibri"/>
          <w:b/>
          <w:bCs/>
          <w:i w:val="false"/>
          <w:iCs w:val="false"/>
          <w:caps w:val="false"/>
          <w:smallCaps w:val="false"/>
          <w:color w:val="000000"/>
          <w:sz w:val="22"/>
          <w:szCs w:val="22"/>
          <w:lang w:val="it-IT" w:eastAsia="en-US" w:bidi="ar-SA"/>
        </w:rPr>
        <w:t>VISTO</w:t>
      </w:r>
      <w:r>
        <w:rPr>
          <w:rFonts w:ascii="Calibri" w:hAnsi="Calibri" w:eastAsia="Calibri" w:cs="Calibri"/>
          <w:b w:val="false"/>
          <w:bCs w:val="false"/>
          <w:i w:val="false"/>
          <w:iCs w:val="false"/>
          <w:caps w:val="false"/>
          <w:smallCaps w:val="false"/>
          <w:color w:val="000000"/>
          <w:sz w:val="22"/>
          <w:szCs w:val="22"/>
          <w:lang w:val="it-IT" w:eastAsia="en-US" w:bidi="ar-SA"/>
        </w:rPr>
        <w:t xml:space="preserve"> il provvedimento prot. n. 00179385 del 22.05.2025 relativo al conferimento dell’incarico del Dott. Massimiliano Pasqui di Responsabile delegato alla gestione della sede secondaria di Roma dell’Istituto per la BioEconomia, con decorrenza dal 01.06.2025;</w:t>
      </w:r>
      <w:r>
        <w:rPr>
          <w:rFonts w:ascii="Calibri" w:hAnsi="Calibri" w:eastAsia="Calibri" w:cs="Calibri"/>
          <w:color w:val="auto"/>
          <w:sz w:val="22"/>
          <w:szCs w:val="22"/>
          <w:lang w:val="it-IT" w:eastAsia="en-US" w:bidi="ar-SA"/>
        </w:rPr>
        <w:t> </w:t>
      </w:r>
    </w:p>
    <w:p>
      <w:pPr>
        <w:overflowPunct w:val="true"/>
        <w:bidi w:val="0"/>
        <w:spacing w:before="0" w:after="0"/>
        <w:jc w:val="both"/>
        <w:rPr/>
      </w:pPr>
      <w:r>
        <w:rPr>
          <w:rFonts w:ascii="Calibri" w:hAnsi="Calibri" w:eastAsia="Calibri" w:cs="Calibri"/>
          <w:color w:val="auto"/>
          <w:sz w:val="22"/>
          <w:szCs w:val="22"/>
          <w:lang w:val="it-IT" w:eastAsia="en-US" w:bidi="ar-SA"/>
        </w:rPr>
        <w:t xml:space="preserve">RSS SMA </w:t>
      </w:r>
      <w:r>
        <w:rPr>
          <w:rFonts w:ascii="Calibri" w:hAnsi="Calibri" w:eastAsia="Calibri" w:cs="Calibri"/>
          <w:b/>
          <w:bCs/>
          <w:color w:val="auto"/>
          <w:sz w:val="22"/>
          <w:szCs w:val="22"/>
          <w:lang w:val="it-IT" w:eastAsia="en-US" w:bidi="ar-SA"/>
        </w:rPr>
        <w:t>VISTO</w:t>
      </w:r>
      <w:r>
        <w:rPr>
          <w:rFonts w:ascii="Calibri" w:hAnsi="Calibri" w:eastAsia="Calibri" w:cs="Calibri"/>
          <w:color w:val="auto"/>
          <w:sz w:val="22"/>
          <w:szCs w:val="22"/>
          <w:lang w:val="it-IT" w:eastAsia="en-US" w:bidi="ar-SA"/>
        </w:rPr>
        <w:t xml:space="preserve"> il provvedimento prot. n. 0000383 del 02.01.2025 relativo al conferimento dell’incarico del Dott. Martino Negri di Responsabile delegato alla gestione della sede secondaria di S. Michele all’Adige dell’Istituto per la BioEconomia, con decorrenza dal 01.01.2025; </w:t>
      </w:r>
    </w:p>
    <w:p>
      <w:pPr>
        <w:overflowPunct w:val="true"/>
        <w:bidi w:val="0"/>
        <w:spacing w:before="0" w:after="0"/>
        <w:jc w:val="both"/>
        <w:rPr/>
      </w:pPr>
      <w:r>
        <w:rPr>
          <w:rFonts w:ascii="Calibri" w:hAnsi="Calibri" w:eastAsia="Calibri" w:cs="Calibri"/>
          <w:color w:val="auto"/>
          <w:sz w:val="22"/>
          <w:szCs w:val="22"/>
          <w:lang w:val="it-IT" w:eastAsia="en-US" w:bidi="ar-SA"/>
        </w:rPr>
        <w:t xml:space="preserve">RSS SS </w:t>
      </w:r>
      <w:r>
        <w:rPr>
          <w:rFonts w:ascii="Calibri" w:hAnsi="Calibri" w:eastAsia="Calibri" w:cs="Calibri"/>
          <w:b/>
          <w:bCs/>
          <w:color w:val="auto"/>
          <w:sz w:val="22"/>
          <w:szCs w:val="22"/>
          <w:lang w:val="it-IT" w:eastAsia="en-US" w:bidi="ar-SA"/>
        </w:rPr>
        <w:t>VISTO</w:t>
      </w:r>
      <w:r>
        <w:rPr>
          <w:rFonts w:ascii="Calibri" w:hAnsi="Calibri" w:eastAsia="Calibri" w:cs="Calibri"/>
          <w:color w:val="auto"/>
          <w:sz w:val="22"/>
          <w:szCs w:val="22"/>
          <w:lang w:val="it-IT" w:eastAsia="en-US" w:bidi="ar-SA"/>
        </w:rPr>
        <w:t xml:space="preserve"> il provvedimento prot. n. 0000387 del 02.01.2025 relativo al conferimento dell’incarico del Dott. Bachisio Arca di Responsabile delegato alla gestione della sede secondaria di Sassari dell’Istituto per la BioEconomia, con decorrenza dal 01.01.2025;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2"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2"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5"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5"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mmento">
    <w:name w:val="Commento"/>
    <w:basedOn w:val="Normal"/>
    <w:qFormat/>
    <w:pPr/>
    <w:rPr>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AF2A67-6E9D-4B77-8EAB-0AFE01C5F562}"/>
</file>

<file path=customXml/itemProps2.xml><?xml version="1.0" encoding="utf-8"?>
<ds:datastoreItem xmlns:ds="http://schemas.openxmlformats.org/officeDocument/2006/customXml" ds:itemID="{8DC8F156-2F9E-4CB2-A9A9-4FFDABAF6C50}"/>
</file>

<file path=customXml/itemProps3.xml><?xml version="1.0" encoding="utf-8"?>
<ds:datastoreItem xmlns:ds="http://schemas.openxmlformats.org/officeDocument/2006/customXml" ds:itemID="{642EC5D9-12F5-421C-BD17-541004C68F66}"/>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LibreOffice/24.2.6.2$Windows_X86_64 LibreOffice_project/ef66aa7e36a1bb8e65bfbc63aba53045a14d0871</Application>
  <AppVersion>15.0000</AppVersion>
  <Pages>3</Pages>
  <Words>1146</Words>
  <Characters>6817</Characters>
  <CharactersWithSpaces>7988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2025-04-08T16:12:00Z</dcterms:created>
  <dc:creator>Elvira Giannozzi</dc:creator>
  <dc:description/>
  <dc:language>it-IT</dc:language>
  <cp:lastModifiedBy/>
  <cp:lastPrinted>2020-02-20T15:09:00Z</cp:lastPrinted>
  <dcterms:modified xsi:type="dcterms:W3CDTF">2025-07-02T18:08:24Z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y fmtid="{D5CDD505-2E9C-101B-9397-08002B2CF9AE}" pid="3" name="MediaServiceImageTags">
    <vt:lpwstr/>
  </property>
</Properties>
</file>