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C5F2D"/>
          <w:sz w:val="48"/>
          <w:szCs w:val="48"/>
        </w:rPr>
        <w:t xml:space="preserve">SababaSnacks Inc.</w:t>
      </w:r>
    </w:p>
    <w:p>
      <w:pPr>
        <w:spacing w:after="40"/>
      </w:pPr>
      <w:r>
        <w:rPr>
          <w:color w:val="1C3A1D"/>
          <w:sz w:val="28"/>
          <w:szCs w:val="28"/>
        </w:rPr>
        <w:t xml:space="preserve">5-Year DCF Model — Explainer &amp; Speaker's Guide</w:t>
      </w:r>
    </w:p>
    <w:p>
      <w:pPr>
        <w:spacing w:after="240"/>
      </w:pPr>
      <w:r>
        <w:rPr>
          <w:i/>
          <w:iCs/>
          <w:color w:val="555555"/>
          <w:sz w:val="20"/>
          <w:szCs w:val="20"/>
        </w:rPr>
        <w:t xml:space="preserve">Assignment #3, Question 2  ·  Accounting Fundamentals</w:t>
      </w:r>
    </w:p>
    <w:p>
      <w:pPr>
        <w:spacing w:after="120"/>
        <w:rPr>
          <w:sz w:val="22"/>
          <w:szCs w:val="22"/>
        </w:rPr>
      </w:pPr>
      <w:r>
        <w:rPr>
          <w:sz w:val="22"/>
          <w:szCs w:val="22"/>
        </w:rPr>
        <w:t xml:space="preserve">This document explains the discounted cash flow (DCF) model we built for SababaSnacks: what it is, the assumptions behind it, how each line of the projection works, and how the model arrives at a company value of roughly $241,000. It is written so you can talk through the model confidently in class — the final section gives talking points and answers to questions you are likely to be asked.</w:t>
      </w:r>
    </w:p>
    <w:p>
      <w:pPr>
        <w:pStyle w:val="Heading1"/>
      </w:pPr>
      <w:r>
        <w:t xml:space="preserve">1.  What we built, in one minute</w:t>
      </w:r>
    </w:p>
    <w:p>
      <w:pPr>
        <w:spacing w:after="120"/>
      </w:pPr>
      <w:r>
        <w:t xml:space="preserve">A DCF estimates what a company is worth today by adding up the cash it is expected to generate in the future. Cash received years from now is worth less than cash today, so each future amount is “discounted” back to today’s value. We projected SababaSnacks’ free cash flow for five years (2026–2030), discounted those amounts, added a “terminal value” for everything beyond 2030, and summed it all. The result — the Net Present Value — is our estimate of the company’s worth: about $241k.</w:t>
      </w:r>
    </w:p>
    <w:p>
      <w:pPr>
        <w:spacing w:after="120"/>
      </w:pPr>
      <w:r>
        <w:t xml:space="preserve">In one sentence for the class: </w:t>
      </w:r>
    </w:p>
    <w:p>
      <w:pPr>
        <w:shd w:fill="EAF1E2" w:val="clear"/>
        <w:spacing w:after="200" w:before="60"/>
        <w:ind w:left="200" w:right="200"/>
      </w:pPr>
      <w:r>
        <w:rPr>
          <w:i/>
          <w:iCs/>
          <w:color w:val="1C3A1D"/>
          <w:sz w:val="22"/>
          <w:szCs w:val="22"/>
        </w:rPr>
        <w:t xml:space="preserve">  “We forecast the cash the business will throw off over five years, brought that future cash back to today’s money, and added the value of everything after that — which gives a company worth around $241,000.”  </w:t>
      </w:r>
    </w:p>
    <w:p>
      <w:pPr>
        <w:pStyle w:val="Heading1"/>
      </w:pPr>
      <w:r>
        <w:t xml:space="preserve">2.  The company and its starting point</w:t>
      </w:r>
    </w:p>
    <w:p>
      <w:pPr>
        <w:spacing w:after="120"/>
      </w:pPr>
      <w:r>
        <w:t xml:space="preserve">SababaSnacks is a reimagining of the start-up “ABC Inc.” from Assignment #1. It is a better-for-you snack brand aimed at kids, sold two ways: directly to parents online, and into supermarkets and schools. The model starts from ABC’s real 2025 events — its first year of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left"/>
            </w:pPr>
            <w:r>
              <w:rPr>
                <w:b/>
                <w:bCs/>
                <w:color w:val="FFFFFF"/>
                <w:sz w:val="20"/>
                <w:szCs w:val="20"/>
              </w:rPr>
              <w:t xml:space="preserve">2025 starting events (from Assignment #1)</w:t>
            </w:r>
          </w:p>
        </w:tc>
        <w:tc>
          <w:tcPr>
            <w:tcW w:type="dxa" w:w="3960"/>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Amount</w:t>
            </w:r>
          </w:p>
        </w:tc>
      </w:tr>
      <w:tr>
        <w:trPr>
          <w:tblHeader w:val="false"/>
        </w:trP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Founder contribution</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$100,000</w:t>
            </w:r>
          </w:p>
        </w:tc>
      </w:tr>
      <w:tr>
        <w:trPr>
          <w:tblHeader w:val="false"/>
        </w:trPr>
        <w:tc>
          <w:tcPr>
            <w:tcW w:type="dxa" w:w="54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SAFE from Investor A</w:t>
            </w:r>
          </w:p>
        </w:tc>
        <w:tc>
          <w:tcPr>
            <w:tcW w:type="dxa" w:w="396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$500,000</w:t>
            </w:r>
          </w:p>
        </w:tc>
      </w:tr>
      <w:tr>
        <w:trPr>
          <w:tblHeader w:val="false"/>
        </w:trP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Bullet loan</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$1,000,000</w:t>
            </w:r>
          </w:p>
        </w:tc>
      </w:tr>
      <w:tr>
        <w:trPr>
          <w:tblHeader w:val="false"/>
        </w:trPr>
        <w:tc>
          <w:tcPr>
            <w:tcW w:type="dxa" w:w="54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Preferred Share A financing (Investor B)</w:t>
            </w:r>
          </w:p>
        </w:tc>
        <w:tc>
          <w:tcPr>
            <w:tcW w:type="dxa" w:w="396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$3,000,000</w:t>
            </w:r>
          </w:p>
        </w:tc>
      </w:tr>
      <w:tr>
        <w:trPr>
          <w:tblHeader w:val="false"/>
        </w:trP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2025 revenue (base year of the model)</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$250,000</w:t>
            </w:r>
          </w:p>
        </w:tc>
      </w:tr>
      <w:tr>
        <w:trPr>
          <w:tblHeader w:val="false"/>
        </w:trPr>
        <w:tc>
          <w:tcPr>
            <w:tcW w:type="dxa" w:w="54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Payroll / Rent</w:t>
            </w:r>
          </w:p>
        </w:tc>
        <w:tc>
          <w:tcPr>
            <w:tcW w:type="dxa" w:w="396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$30,000 mo / $5,000 mo</w:t>
            </w:r>
          </w:p>
        </w:tc>
      </w:tr>
    </w:tbl>
    <w:p>
      <w:pPr>
        <w:spacing w:after="120"/>
      </w:pPr>
      <w:r>
        <w:t xml:space="preserve"/>
      </w:r>
    </w:p>
    <w:p>
      <w:pPr>
        <w:pStyle w:val="Heading1"/>
      </w:pPr>
      <w:r>
        <w:t xml:space="preserve">3.  How a DCF works (the logic)</w:t>
      </w:r>
    </w:p>
    <w:p>
      <w:pPr>
        <w:spacing w:after="120"/>
      </w:pPr>
      <w:r>
        <w:t xml:space="preserve">Every DCF follows the same four steps. Understanding these is enough to explain the whole model:</w:t>
      </w:r>
    </w:p>
    <w:p>
      <w:pPr>
        <w:pStyle w:val="ListParagraph"/>
        <w:numPr>
          <w:ilvl w:val="0"/>
          <w:numId w:val="2"/>
        </w:numPr>
        <w:spacing w:after="80"/>
      </w:pPr>
      <w:r>
        <w:t xml:space="preserve">Project free cash flow (FCF) — the cash left over each year after running costs, tax, investment in equipment (capex) and stock (working capital).</w:t>
      </w:r>
    </w:p>
    <w:p>
      <w:pPr>
        <w:pStyle w:val="ListParagraph"/>
        <w:numPr>
          <w:ilvl w:val="0"/>
          <w:numId w:val="2"/>
        </w:numPr>
        <w:spacing w:after="80"/>
      </w:pPr>
      <w:r>
        <w:t xml:space="preserve">Discount each year’s FCF — divide by (1 + discount rate) raised to the number of years away, because future cash is worth less than cash today.</w:t>
      </w:r>
    </w:p>
    <w:p>
      <w:pPr>
        <w:pStyle w:val="ListParagraph"/>
        <w:numPr>
          <w:ilvl w:val="0"/>
          <w:numId w:val="2"/>
        </w:numPr>
        <w:spacing w:after="80"/>
      </w:pPr>
      <w:r>
        <w:t xml:space="preserve">Add a terminal value — a single figure capturing all the cash the business generates after the five-year window, assuming it then grows steadily forever.</w:t>
      </w:r>
    </w:p>
    <w:p>
      <w:pPr>
        <w:pStyle w:val="ListParagraph"/>
        <w:numPr>
          <w:ilvl w:val="0"/>
          <w:numId w:val="2"/>
        </w:numPr>
        <w:spacing w:after="80"/>
      </w:pPr>
      <w:r>
        <w:t xml:space="preserve">Sum everything — the discounted cash flows plus the discounted terminal value give the company’s value today (its NPV).</w:t>
      </w:r>
    </w:p>
    <w:p>
      <w:pPr>
        <w:pStyle w:val="Heading1"/>
      </w:pPr>
      <w:r>
        <w:t xml:space="preserve">4.  Key assumptions (and why we chose them)</w:t>
      </w:r>
    </w:p>
    <w:p>
      <w:pPr>
        <w:spacing w:after="120"/>
      </w:pPr>
      <w:r>
        <w:t xml:space="preserve">These are the inputs that drive the model. They are the yellow cells in the spreadsheet — change one and the whole valuation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left"/>
            </w:pPr>
            <w:r>
              <w:rPr>
                <w:b/>
                <w:bCs/>
                <w:color w:val="FFFFFF"/>
                <w:sz w:val="20"/>
                <w:szCs w:val="20"/>
              </w:rPr>
              <w:t xml:space="preserve">Assumption</w:t>
            </w:r>
          </w:p>
        </w:tc>
        <w:tc>
          <w:tcPr>
            <w:tcW w:type="dxa" w:w="2400"/>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Why</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Starting revenue (2025)</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$250,000</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ABC’s actual first-year revenue from Assignment #1.</w:t>
            </w:r>
          </w:p>
        </w:tc>
      </w:tr>
      <w:tr>
        <w:trPr>
          <w:tblHeader w:val="false"/>
        </w:trPr>
        <w:tc>
          <w:tcPr>
            <w:tcW w:type="dxa" w:w="36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Revenue growth</w:t>
            </w:r>
          </w:p>
        </w:tc>
        <w:tc>
          <w:tcPr>
            <w:tcW w:type="dxa" w:w="24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60 / 45 / 35 / 28 / 22 %</w:t>
            </w:r>
          </w:p>
        </w:tc>
        <w:tc>
          <w:tcPr>
            <w:tcW w:type="dxa" w:w="336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Fast off a small base, easing as the brand matures.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Gross margin</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55 %</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Typical for a premium better-for-you snack after ingredients &amp; packaging.</w:t>
            </w:r>
          </w:p>
        </w:tc>
      </w:tr>
      <w:tr>
        <w:trPr>
          <w:tblHeader w:val="false"/>
        </w:trPr>
        <w:tc>
          <w:tcPr>
            <w:tcW w:type="dxa" w:w="36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Operating expenses</w:t>
            </w:r>
          </w:p>
        </w:tc>
        <w:tc>
          <w:tcPr>
            <w:tcW w:type="dxa" w:w="24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$330k → $500k</w:t>
            </w:r>
          </w:p>
        </w:tc>
        <w:tc>
          <w:tcPr>
            <w:tcW w:type="dxa" w:w="336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Payroll, rent, marketing &amp; admin — grow slower than sales.</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Tax rate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23 %</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Applied only once the company is profitable.</w:t>
            </w:r>
          </w:p>
        </w:tc>
      </w:tr>
      <w:tr>
        <w:trPr>
          <w:tblHeader w:val="false"/>
        </w:trPr>
        <w:tc>
          <w:tcPr>
            <w:tcW w:type="dxa" w:w="36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Discount rate (WACC)</w:t>
            </w:r>
          </w:p>
        </w:tc>
        <w:tc>
          <w:tcPr>
            <w:tcW w:type="dxa" w:w="24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15 %</w:t>
            </w:r>
          </w:p>
        </w:tc>
        <w:tc>
          <w:tcPr>
            <w:tcW w:type="dxa" w:w="336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High, reflecting an early-stage, private, risky brand.</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Terminal growth</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2.5 %</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Long-run snack-market growth, roughly in line with inflation.</w:t>
            </w:r>
          </w:p>
        </w:tc>
      </w:tr>
      <w:tr>
        <w:trPr>
          <w:tblHeader w:val="false"/>
        </w:trPr>
        <w:tc>
          <w:tcPr>
            <w:tcW w:type="dxa" w:w="36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Capex / D&amp;A</w:t>
            </w:r>
          </w:p>
        </w:tc>
        <w:tc>
          <w:tcPr>
            <w:tcW w:type="dxa" w:w="240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3 % / 2 % of revenue</w:t>
            </w:r>
          </w:p>
        </w:tc>
        <w:tc>
          <w:tcPr>
            <w:tcW w:type="dxa" w:w="336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Asset-light — manufacturing is outsourced.</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Change in working capital</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5 % of revenue growth</w:t>
            </w:r>
          </w:p>
        </w:tc>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Cash tied up in extra stock and receivables as sales grow.</w:t>
            </w:r>
          </w:p>
        </w:tc>
      </w:tr>
    </w:tbl>
    <w:p>
      <w:pPr>
        <w:spacing w:after="120"/>
      </w:pPr>
      <w:r>
        <w:t xml:space="preserve"/>
      </w:r>
    </w:p>
    <w:p>
      <w:pPr>
        <w:pStyle w:val="Heading1"/>
      </w:pPr>
      <w:r>
        <w:t xml:space="preserve">5.  The projection, line by line</w:t>
      </w:r>
    </w:p>
    <w:p>
      <w:pPr>
        <w:spacing w:after="120"/>
      </w:pPr>
      <w:r>
        <w:t xml:space="preserve">Each year we work down from sales to the cash the business actually generates. Figures below are in thousands of dollars ($000s).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68"/>
        <w:gridCol w:w="1368"/>
        <w:gridCol w:w="1368"/>
        <w:gridCol w:w="1368"/>
        <w:gridCol w:w="1368"/>
      </w:tblGrid>
      <w:tr>
        <w:trPr>
          <w:tblHeader/>
        </w:trPr>
        <w:tc>
          <w:tcPr>
            <w:tcW w:type="dxa" w:w="2520"/>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left"/>
            </w:pPr>
            <w:r>
              <w:rPr>
                <w:b/>
                <w:bCs/>
                <w:color w:val="FFFFFF"/>
                <w:sz w:val="20"/>
                <w:szCs w:val="20"/>
              </w:rPr>
              <w:t xml:space="preserve">Line ($000s)</w:t>
            </w:r>
          </w:p>
        </w:tc>
        <w:tc>
          <w:tcPr>
            <w:tcW w:type="dxa" w:w="1368"/>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2026</w:t>
            </w:r>
          </w:p>
        </w:tc>
        <w:tc>
          <w:tcPr>
            <w:tcW w:type="dxa" w:w="1368"/>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2027</w:t>
            </w:r>
          </w:p>
        </w:tc>
        <w:tc>
          <w:tcPr>
            <w:tcW w:type="dxa" w:w="1368"/>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2028</w:t>
            </w:r>
          </w:p>
        </w:tc>
        <w:tc>
          <w:tcPr>
            <w:tcW w:type="dxa" w:w="1368"/>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2029</w:t>
            </w:r>
          </w:p>
        </w:tc>
        <w:tc>
          <w:tcPr>
            <w:tcW w:type="dxa" w:w="1368"/>
            <w:tcBorders>
              <w:top w:val="single" w:color="CCCCCC" w:sz="1"/>
              <w:left w:val="single" w:color="CCCCCC" w:sz="1"/>
              <w:bottom w:val="single" w:color="CCCCCC" w:sz="1"/>
              <w:right w:val="single" w:color="CCCCCC" w:sz="1"/>
            </w:tcBorders>
            <w:shd w:fill="2C5F2D" w:val="clear"/>
            <w:tcMar>
              <w:top w:type="dxa" w:w="60"/>
              <w:left w:type="dxa" w:w="110"/>
              <w:bottom w:type="dxa" w:w="60"/>
              <w:right w:type="dxa" w:w="110"/>
            </w:tcMar>
          </w:tcPr>
          <w:p>
            <w:pPr>
              <w:jc w:val="right"/>
            </w:pPr>
            <w:r>
              <w:rPr>
                <w:b/>
                <w:bCs/>
                <w:color w:val="FFFFFF"/>
                <w:sz w:val="20"/>
                <w:szCs w:val="20"/>
              </w:rPr>
              <w:t xml:space="preserve">2030</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Revenue</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400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580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783</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1,002</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1,223</w:t>
            </w:r>
          </w:p>
        </w:tc>
      </w:tr>
      <w:tr>
        <w:trPr>
          <w:tblHeader w:val="false"/>
        </w:trPr>
        <w:tc>
          <w:tcPr>
            <w:tcW w:type="dxa" w:w="252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Gross profit (55%)</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220</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319</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431</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551</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672</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Operating expenses</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(330)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(380)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(420)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(460)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(500)</w:t>
            </w:r>
          </w:p>
        </w:tc>
      </w:tr>
      <w:tr>
        <w:trPr>
          <w:tblHeader w:val="false"/>
        </w:trPr>
        <w:tc>
          <w:tcPr>
            <w:tcW w:type="dxa" w:w="252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EBITDA</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(110)</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(61)</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11</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91</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173</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Depreciation &amp; amort.</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(8)</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(12)</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(16)</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(24)</w:t>
            </w:r>
          </w:p>
        </w:tc>
      </w:tr>
      <w:tr>
        <w:trPr>
          <w:tblHeader w:val="false"/>
        </w:trPr>
        <w:tc>
          <w:tcPr>
            <w:tcW w:type="dxa" w:w="252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EBIT</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(118)</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(73)</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(5)</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71</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148</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Tax</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(16)</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(34)</w:t>
            </w:r>
          </w:p>
        </w:tc>
      </w:tr>
      <w:tr>
        <w:trPr>
          <w:tblHeader w:val="false"/>
        </w:trPr>
        <w:tc>
          <w:tcPr>
            <w:tcW w:type="dxa" w:w="252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NOPAT</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(118)</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(73)</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(5)</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55</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114</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Add back D&amp;A</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8</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12</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16</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24</w:t>
            </w:r>
          </w:p>
        </w:tc>
      </w:tr>
      <w:tr>
        <w:trPr>
          <w:tblHeader w:val="false"/>
        </w:trPr>
        <w:tc>
          <w:tcPr>
            <w:tcW w:type="dxa" w:w="252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Less: capex</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(12)</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(17)</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(23)</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(30)</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(37)</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color w:val="000000"/>
                <w:sz w:val="20"/>
                <w:szCs w:val="20"/>
              </w:rPr>
              <w:t xml:space="preserve">Less: Δ working capital</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(8)</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(9)</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(10)</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(11)</w:t>
            </w:r>
          </w:p>
        </w:tc>
        <w:tc>
          <w:tcPr>
            <w:tcW w:type="dxa" w:w="1368"/>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color w:val="000000"/>
                <w:sz w:val="20"/>
                <w:szCs w:val="20"/>
              </w:rPr>
              <w:t xml:space="preserve">(11)</w:t>
            </w:r>
          </w:p>
        </w:tc>
      </w:tr>
      <w:tr>
        <w:trPr>
          <w:tblHeader w:val="false"/>
        </w:trPr>
        <w:tc>
          <w:tcPr>
            <w:tcW w:type="dxa" w:w="2520"/>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left"/>
            </w:pPr>
            <w:r>
              <w:rPr>
                <w:b w:val="false"/>
                <w:bCs w:val="false"/>
                <w:color w:val="000000"/>
                <w:sz w:val="20"/>
                <w:szCs w:val="20"/>
              </w:rPr>
              <w:t xml:space="preserve">Free cash flow</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(129)</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(87)</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(23)</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34</w:t>
            </w:r>
          </w:p>
        </w:tc>
        <w:tc>
          <w:tcPr>
            <w:tcW w:type="dxa" w:w="1368"/>
            <w:tcBorders>
              <w:top w:val="single" w:color="CCCCCC" w:sz="1"/>
              <w:left w:val="single" w:color="CCCCCC" w:sz="1"/>
              <w:bottom w:val="single" w:color="CCCCCC" w:sz="1"/>
              <w:right w:val="single" w:color="CCCCCC" w:sz="1"/>
            </w:tcBorders>
            <w:shd w:fill="EAF1E2" w:val="clear"/>
            <w:tcMar>
              <w:top w:type="dxa" w:w="60"/>
              <w:left w:type="dxa" w:w="110"/>
              <w:bottom w:type="dxa" w:w="60"/>
              <w:right w:type="dxa" w:w="110"/>
            </w:tcMar>
          </w:tcPr>
          <w:p>
            <w:pPr>
              <w:jc w:val="right"/>
            </w:pPr>
            <w:r>
              <w:rPr>
                <w:b w:val="false"/>
                <w:bCs w:val="false"/>
                <w:color w:val="000000"/>
                <w:sz w:val="20"/>
                <w:szCs w:val="20"/>
              </w:rPr>
              <w:t xml:space="preserve">91</w:t>
            </w:r>
          </w:p>
        </w:tc>
      </w:tr>
    </w:tbl>
    <w:p>
      <w:pPr>
        <w:spacing w:after="120"/>
      </w:pPr>
      <w:r>
        <w:t xml:space="preserve">Reading it aloud: sales grow each year; gross profit is just over half of sales; operating costs are heavy early so EBITDA is negative until 2028; after depreciation and a tax charge once profitable, we add depreciation back (it isn’t a cash cost) and subtract money spent on equipment and stock. What’s left is free cash flow — negative while we invest, turning positive in 2029.</w:t>
      </w:r>
    </w:p>
    <w:p>
      <w:pPr>
        <w:pStyle w:val="Heading1"/>
      </w:pPr>
      <w:r>
        <w:t xml:space="preserve">6.  From cash flows to company value</w:t>
      </w:r>
    </w:p>
    <w:p>
      <w:pPr>
        <w:spacing w:after="120"/>
      </w:pPr>
      <w:r>
        <w:t xml:space="preserve">We then bring those cash flows back to today and add the terminal value:</w:t>
      </w:r>
    </w:p>
    <w:p>
      <w:pPr>
        <w:pStyle w:val="ListParagraph"/>
        <w:numPr>
          <w:ilvl w:val="0"/>
          <w:numId w:val="2"/>
        </w:numPr>
        <w:spacing w:after="80"/>
      </w:pPr>
      <w:r>
        <w:t xml:space="preserve">Discount factor each year = 1 ÷ (1 + 15%) ^ (year number). 2026 ≈ 0.87, falling to 2030 ≈ 0.50.</w:t>
      </w:r>
    </w:p>
    <w:p>
      <w:pPr>
        <w:pStyle w:val="ListParagraph"/>
        <w:numPr>
          <w:ilvl w:val="0"/>
          <w:numId w:val="2"/>
        </w:numPr>
        <w:spacing w:after="80"/>
      </w:pPr>
      <w:r>
        <w:t xml:space="preserve">PV of free cash flows (2026–2030) sums to about ($129k) — negative, because the early years burn cash.</w:t>
      </w:r>
    </w:p>
    <w:p>
      <w:pPr>
        <w:pStyle w:val="ListParagraph"/>
        <w:numPr>
          <w:ilvl w:val="0"/>
          <w:numId w:val="2"/>
        </w:numPr>
        <w:spacing w:after="80"/>
      </w:pPr>
      <w:r>
        <w:t xml:space="preserve">Terminal value = 2030 free cash flow × (1 + 2.5%) ÷ (15% − 2.5%) ≈ $744k, then discounted back to today ≈ $370k.</w:t>
      </w:r>
    </w:p>
    <w:p>
      <w:pPr>
        <w:spacing w:after="120"/>
      </w:pPr>
    </w:p>
    <w:p>
      <w:pPr>
        <w:shd w:fill="EAF1E2" w:val="clear"/>
        <w:spacing w:after="200" w:before="120"/>
        <w:ind w:left="160" w:right="160"/>
      </w:pPr>
      <w:r>
        <w:rPr>
          <w:b/>
          <w:bCs/>
          <w:color w:val="2C5F2D"/>
          <w:sz w:val="24"/>
          <w:szCs w:val="24"/>
        </w:rPr>
        <w:t xml:space="preserve">  Enterprise Value (NPV)  =  PV of cash flows ($129k loss)  +  PV of terminal value ($370k)  ≈  $241,000  </w:t>
      </w:r>
    </w:p>
    <w:p>
      <w:pPr>
        <w:pStyle w:val="Heading1"/>
      </w:pPr>
      <w:r>
        <w:t xml:space="preserve">7.  Headline results</w:t>
      </w:r>
    </w:p>
    <w:p>
      <w:pPr>
        <w:pStyle w:val="ListParagraph"/>
        <w:numPr>
          <w:ilvl w:val="0"/>
          <w:numId w:val="2"/>
        </w:numPr>
        <w:spacing w:after="80"/>
      </w:pPr>
      <w:r>
        <w:t xml:space="preserve">Revenue grows from $250k (2025) to about $1.22m by 2030 — roughly five-fold.</w:t>
      </w:r>
    </w:p>
    <w:p>
      <w:pPr>
        <w:pStyle w:val="ListParagraph"/>
        <w:numPr>
          <w:ilvl w:val="0"/>
          <w:numId w:val="2"/>
        </w:numPr>
        <w:spacing w:after="80"/>
      </w:pPr>
      <w:r>
        <w:t xml:space="preserve">EBITDA turns positive in 2028 and reaches a healthy mid-teens margin (~14%) by 2030.</w:t>
      </w:r>
    </w:p>
    <w:p>
      <w:pPr>
        <w:pStyle w:val="ListParagraph"/>
        <w:numPr>
          <w:ilvl w:val="0"/>
          <w:numId w:val="2"/>
        </w:numPr>
        <w:spacing w:after="80"/>
      </w:pPr>
      <w:r>
        <w:t xml:space="preserve">Free cash flow is negative while the brand scales, turning positive in 2029.</w:t>
      </w:r>
    </w:p>
    <w:p>
      <w:pPr>
        <w:pStyle w:val="ListParagraph"/>
        <w:numPr>
          <w:ilvl w:val="0"/>
          <w:numId w:val="2"/>
        </w:numPr>
        <w:spacing w:after="80"/>
      </w:pPr>
      <w:r>
        <w:t xml:space="preserve">Estimated company value (NPV): approximately $241,000.</w:t>
      </w:r>
    </w:p>
    <w:p>
      <w:pPr>
        <w:pStyle w:val="Heading1"/>
      </w:pPr>
      <w:r>
        <w:t xml:space="preserve">8.  How to present it — talking points &amp; likely questions</w:t>
      </w:r>
    </w:p>
    <w:p>
      <w:pPr>
        <w:pStyle w:val="Heading2"/>
      </w:pPr>
      <w:r>
        <w:t xml:space="preserve">Talking points</w:t>
      </w:r>
    </w:p>
    <w:p>
      <w:pPr>
        <w:pStyle w:val="ListParagraph"/>
        <w:numPr>
          <w:ilvl w:val="0"/>
          <w:numId w:val="2"/>
        </w:numPr>
        <w:spacing w:after="80"/>
      </w:pPr>
      <w:r>
        <w:t xml:space="preserve">Lead with the idea, not the spreadsheet: “a company is worth the cash it will generate, in today’s money.”</w:t>
      </w:r>
    </w:p>
    <w:p>
      <w:pPr>
        <w:pStyle w:val="ListParagraph"/>
        <w:numPr>
          <w:ilvl w:val="0"/>
          <w:numId w:val="2"/>
        </w:numPr>
        <w:spacing w:after="80"/>
      </w:pPr>
      <w:r>
        <w:t xml:space="preserve">Walk down one year of the projection so the audience sees sales become cash.</w:t>
      </w:r>
    </w:p>
    <w:p>
      <w:pPr>
        <w:pStyle w:val="ListParagraph"/>
        <w:numPr>
          <w:ilvl w:val="0"/>
          <w:numId w:val="2"/>
        </w:numPr>
        <w:spacing w:after="80"/>
      </w:pPr>
      <w:r>
        <w:t xml:space="preserve">Show the bridge: early cash burn, then a large terminal value, netting to ~$241k.</w:t>
      </w:r>
    </w:p>
    <w:p>
      <w:pPr>
        <w:pStyle w:val="ListParagraph"/>
        <w:numPr>
          <w:ilvl w:val="0"/>
          <w:numId w:val="2"/>
        </w:numPr>
        <w:spacing w:after="80"/>
      </w:pPr>
      <w:r>
        <w:t xml:space="preserve">Be upfront that the answer depends on the assumptions — that’s a strength of showing your work, not a weakness.</w:t>
      </w:r>
    </w:p>
    <w:p>
      <w:pPr>
        <w:pStyle w:val="Heading2"/>
      </w:pPr>
      <w:r>
        <w:t xml:space="preserve">Questions you may be asked</w:t>
      </w:r>
    </w:p>
    <w:p>
      <w:pPr>
        <w:spacing w:after="120"/>
      </w:pPr>
    </w:p>
    <w:p>
      <w:pPr>
        <w:spacing w:after="60"/>
      </w:pPr>
      <w:r>
        <w:rPr>
          <w:b/>
          <w:bCs/>
        </w:rPr>
        <w:t xml:space="preserve">“Why is it worth $241k if it loses money early?” </w:t>
      </w:r>
      <w:r>
        <w:t xml:space="preserve">A DCF values all the future, not just the loss-making years. Once SababaSnacks matures it generates steady cash, and the terminal value captures that.</w:t>
      </w:r>
    </w:p>
    <w:p>
      <w:pPr>
        <w:spacing w:after="60"/>
      </w:pPr>
      <w:r>
        <w:rPr>
          <w:b/>
          <w:bCs/>
        </w:rPr>
        <w:t xml:space="preserve">“Why a 15% discount rate?” </w:t>
      </w:r>
      <w:r>
        <w:t xml:space="preserve">Because a brand-new, private snack company is risky; investors expect a high return to compensate. A safe, established firm would use a lower rate.</w:t>
      </w:r>
    </w:p>
    <w:p>
      <w:pPr>
        <w:spacing w:after="60"/>
      </w:pPr>
      <w:r>
        <w:rPr>
          <w:b/>
          <w:bCs/>
        </w:rPr>
        <w:t xml:space="preserve">“What is terminal value and why is it most of the answer?” </w:t>
      </w:r>
      <w:r>
        <w:t xml:space="preserve">It’s the value of all cash beyond 2030, assuming steady 2.5% growth forever. It dominates because the explicit five years are still cash-negative — normal for an early-stage company.</w:t>
      </w:r>
    </w:p>
    <w:p>
      <w:pPr>
        <w:spacing w:after="60"/>
      </w:pPr>
      <w:r>
        <w:rPr>
          <w:b/>
          <w:bCs/>
        </w:rPr>
        <w:t xml:space="preserve">“What would change the valuation most?” </w:t>
      </w:r>
      <w:r>
        <w:t xml:space="preserve">The discount rate and terminal growth. A lower WACC or higher growth lifts the value sharply; the reverse cuts it. That sensitivity is the key caveat.</w:t>
      </w:r>
    </w:p>
    <w:p>
      <w:pPr>
        <w:pStyle w:val="Heading1"/>
      </w:pPr>
      <w:r>
        <w:t xml:space="preserve">9.  Caveats to mention</w:t>
      </w:r>
    </w:p>
    <w:p>
      <w:pPr>
        <w:pStyle w:val="ListParagraph"/>
        <w:numPr>
          <w:ilvl w:val="0"/>
          <w:numId w:val="2"/>
        </w:numPr>
        <w:spacing w:after="80"/>
      </w:pPr>
      <w:r>
        <w:t xml:space="preserve">Most of the value sits in the terminal value, so the result is sensitive to the discount rate and terminal-growth assumptions.</w:t>
      </w:r>
    </w:p>
    <w:p>
      <w:pPr>
        <w:pStyle w:val="ListParagraph"/>
        <w:numPr>
          <w:ilvl w:val="0"/>
          <w:numId w:val="2"/>
        </w:numPr>
        <w:spacing w:after="80"/>
      </w:pPr>
      <w:r>
        <w:t xml:space="preserve">The growth and margin path is an optimistic-but-reasonable “it works” scenario; a downside case would value the company far lower.</w:t>
      </w:r>
    </w:p>
    <w:p>
      <w:pPr>
        <w:pStyle w:val="ListParagraph"/>
        <w:numPr>
          <w:ilvl w:val="0"/>
          <w:numId w:val="2"/>
        </w:numPr>
        <w:spacing w:after="80"/>
      </w:pPr>
      <w:r>
        <w:t xml:space="preserve">This is an unlevered DCF (enterprise value) — it values the business before subtracting any debt the company carries.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SababaSnacks DCF — Model Explainer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C5F2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C3A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2026-06-05T12:11:43.783Z</dcterms:created>
  <dcterms:modified xsi:type="dcterms:W3CDTF">2026-06-05T12:11:43.783Z</dcterms:modified>
</cp:coreProperties>
</file>

<file path=docProps/custom.xml><?xml version="1.0" encoding="utf-8"?>
<Properties xmlns="http://schemas.openxmlformats.org/officeDocument/2006/custom-properties" xmlns:vt="http://schemas.openxmlformats.org/officeDocument/2006/docPropsVTypes"/>
</file>