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RESPONSE TO REVIEWERS AND EDITOR</w:t>
      </w:r>
    </w:p>
    <w:p>
      <w:pPr>
        <w:jc w:val="center"/>
      </w:pPr>
      <w:r>
        <w:rPr>
          <w:b/>
        </w:rPr>
        <w:t>International Journal of Intelligent Engineering and Systems (IJIES)</w:t>
      </w:r>
    </w:p>
    <w:p>
      <w:r>
        <w:rPr>
          <w:b/>
        </w:rPr>
        <w:t xml:space="preserve">Paper ID: </w:t>
      </w:r>
      <w:r>
        <w:t>20265339</w:t>
      </w:r>
    </w:p>
    <w:p>
      <w:r>
        <w:rPr>
          <w:b/>
        </w:rPr>
        <w:t xml:space="preserve">Manuscript Title: </w:t>
      </w:r>
      <w:r>
        <w:t>Context-Aware Multimodal Classification of Coffee Leaf Diseases Using Vision Transformer and Agro-Environmental Sensor Data</w:t>
      </w:r>
    </w:p>
    <w:p>
      <w:r>
        <w:rPr>
          <w:b/>
        </w:rPr>
        <w:t xml:space="preserve">Authors: </w:t>
      </w:r>
      <w:r>
        <w:t>Alfis Arif, Desi Puspita, and Siti Aminah</w:t>
      </w:r>
    </w:p>
    <w:p>
      <w:pPr>
        <w:pStyle w:val="Heading1"/>
      </w:pPr>
      <w:r>
        <w:t>Response to the Editor</w:t>
      </w:r>
    </w:p>
    <w:p>
      <w:r>
        <w:rPr>
          <w:b/>
        </w:rPr>
        <w:t>Dear Editor,</w:t>
      </w:r>
    </w:p>
    <w:p>
      <w:r>
        <w:t>We sincerely thank the Editor and the reviewers for their careful evaluation and constructive comments. We have substantially revised the manuscript and repeated the experiments using a leakage-controlled, source-separated evaluation protocol. The revision also introduces controlled image-only, sensor-only, multimodal, and shuffled-sensor configurations, harmonizes the four-class label taxonomy before model training, and strengthens the discussion of reproducibility and external validity.</w:t>
      </w:r>
    </w:p>
    <w:p>
      <w:r>
        <w:t>The revised manuscript reports 840 original paired observations, with 672 source-separated training observations and 168 fixed validation observations. Training-only sensor augmentation produces 2,016 effective training entries, while the validation set remains unchanged. The proposed ViT + Sensor model achieves 100.00% validation accuracy, but the ViT-only and shuffled-sensor configurations also achieve 100.00%. Accordingly, we have revised the interpretation to avoid claiming an incremental accuracy benefit from multimodal fusion.</w:t>
      </w:r>
    </w:p>
    <w:p>
      <w:r>
        <w:rPr>
          <w:b/>
        </w:rPr>
        <w:t>1. Revised manuscript and point-by-point response; modifications highlighted in red.</w:t>
      </w:r>
    </w:p>
    <w:p>
      <w:r>
        <w:t>A revised manuscript and this detailed point-by-point response have been prepared. The revised manuscript contains the requested methodological and textual changes. For the submission version, all substantive modifications and additions should be highlighted in red as requested by the Editor.</w:t>
      </w:r>
    </w:p>
    <w:p>
      <w:r>
        <w:rPr>
          <w:b/>
        </w:rPr>
        <w:t>2. Conflicts of Interest and Author Contributions.</w:t>
      </w:r>
    </w:p>
    <w:p>
      <w:r>
        <w:t>Added both mandatory sections. The manuscript now states: “The authors declare no conflict of interest.” An Author Contributions paragraph specifying the contribution of each author has also been added.</w:t>
      </w:r>
    </w:p>
    <w:p>
      <w:r>
        <w:rPr>
          <w:b/>
        </w:rPr>
        <w:t xml:space="preserve">Location: </w:t>
      </w:r>
      <w:r>
        <w:t>Page 13, Conflicts of interest and Author contributions.</w:t>
      </w:r>
    </w:p>
    <w:p>
      <w:r>
        <w:rPr>
          <w:b/>
        </w:rPr>
        <w:t>3. Implementation code and reproducibility materials.</w:t>
      </w:r>
    </w:p>
    <w:p>
      <w:r>
        <w:t>The revised manuscript substantially expands the reproducibility description by specifying the data partitioning protocol, source-group definition, augmentation rules, scaler fitting, model configurations, optimizer, learning rate, pretrained checkpoint, random seeds, checkpoint-selection rule, selected epochs, and evaluation protocol. A repository link should be inserted in the final submission if the implementation repository is publicly available.</w:t>
      </w:r>
    </w:p>
    <w:p>
      <w:r>
        <w:rPr>
          <w:b/>
        </w:rPr>
        <w:t xml:space="preserve">Location: </w:t>
      </w:r>
      <w:r>
        <w:t>Section 3.3, Section 3.8, Section 3.9, and Table 2.</w:t>
      </w:r>
    </w:p>
    <w:p>
      <w:r>
        <w:rPr>
          <w:b/>
        </w:rPr>
        <w:t>4. Manuscript formatting.</w:t>
      </w:r>
    </w:p>
    <w:p>
      <w:r>
        <w:t>The revised manuscript has been structured according to the requested IJIES organization, including separate tables for experimental configurations and contextual literature comparison, mandatory conflict-of-interest and author-contribution statements, and a manuscript length exceeding the minimum eight-page requirement.</w:t>
      </w:r>
    </w:p>
    <w:p>
      <w:r>
        <w:rPr>
          <w:b/>
        </w:rPr>
        <w:t xml:space="preserve">Location: </w:t>
      </w:r>
      <w:r>
        <w:t>Throughout the revised manuscript.</w:t>
      </w:r>
    </w:p>
    <w:p>
      <w:pPr>
        <w:pStyle w:val="Heading1"/>
      </w:pPr>
      <w:r>
        <w:t>Response to Reviewer 1</w:t>
      </w:r>
    </w:p>
    <w:p>
      <w:r>
        <w:t>We thank Reviewer 1 for recognizing the relevance and quality of the study and for the detailed recommendations concerning checkpoint selection, numerical consistency, and reproducibility.</w:t>
      </w:r>
    </w:p>
    <w:p>
      <w:r>
        <w:rPr>
          <w:b/>
        </w:rPr>
        <w:t>Comment 1. The checkpoint-selection rule was ambiguous because epoch 9 had higher validation accuracy than epoch 10.</w:t>
      </w:r>
    </w:p>
    <w:p>
      <w:r>
        <w:t>Addressed. We explicitly define the checkpoint-selection rule before presenting the results: the checkpoint is selected by minimum validation cross-entropy loss, followed by validation accuracy and then the earlier epoch as tie-breakers. No early stopping is used. The selected epochs are reported for all six configurations, and the selected weights are restored from the corresponding best.pt checkpoint.</w:t>
      </w:r>
    </w:p>
    <w:p>
      <w:r>
        <w:rPr>
          <w:b/>
        </w:rPr>
        <w:t xml:space="preserve">Location: </w:t>
      </w:r>
      <w:r>
        <w:t>Section 3.8, page 6; Table 2, page 7.</w:t>
      </w:r>
    </w:p>
    <w:p>
      <w:r>
        <w:rPr>
          <w:b/>
        </w:rPr>
        <w:t>Comment 2. Rounded validation percentages should be supported by exact prediction counts.</w:t>
      </w:r>
    </w:p>
    <w:p>
      <w:r>
        <w:t>Addressed. The revised evaluation reports correct/total predictions for the models and reports the fixed validation size of 168 observations. For the proposed ViT + Sensor model, the manuscript reports 168/168 correct predictions. Class-wise supports are also reported in Table 5, and the nominal 95% Wilson confidence interval is provided in Table 6.</w:t>
      </w:r>
    </w:p>
    <w:p>
      <w:r>
        <w:rPr>
          <w:b/>
        </w:rPr>
        <w:t xml:space="preserve">Location: </w:t>
      </w:r>
      <w:r>
        <w:t>Section 3.9, Section 4.4, Tables 4–6.</w:t>
      </w:r>
    </w:p>
    <w:p>
      <w:r>
        <w:rPr>
          <w:b/>
        </w:rPr>
        <w:t>Comment 3. Aggregate metrics should originate from a single saved prediction file and evaluation script.</w:t>
      </w:r>
    </w:p>
    <w:p>
      <w:r>
        <w:t>Addressed in the evaluation protocol and reproducibility specification. The revised manuscript states that predictions are generated from the selected checkpoint using a common evaluation procedure and that record-level and source-level predictions are produced. The manuscript also specifies the complete metric set and the checkpoint-selection rule. The exact prediction files and evaluation scripts should be supplied as supplementary/reproducibility materials or through the implementation repository.</w:t>
      </w:r>
    </w:p>
    <w:p>
      <w:r>
        <w:rPr>
          <w:b/>
        </w:rPr>
        <w:t xml:space="preserve">Location: </w:t>
      </w:r>
      <w:r>
        <w:t>Section 3.8–3.9, pages 6–7.</w:t>
      </w:r>
    </w:p>
    <w:p>
      <w:r>
        <w:rPr>
          <w:b/>
        </w:rPr>
        <w:t>Comment 4. The augmented dataset should preserve source identifiers and augmentation-instance mapping.</w:t>
      </w:r>
    </w:p>
    <w:p>
      <w:r>
        <w:t>Addressed methodologically. The original 840 observations are partitioned before augmentation using source-group-separated stratified sampling. The source group is identified using source_id, and all observations from the same original image source are kept in one partition. Sensor augmentation is then applied only to the 672 training observations, producing 2,016 effective training entries, while the 168 validation observations remain original and fixed. The source and augmentation mappings should be included in the reproducibility package where permitted.</w:t>
      </w:r>
    </w:p>
    <w:p>
      <w:r>
        <w:rPr>
          <w:b/>
        </w:rPr>
        <w:t xml:space="preserve">Location: </w:t>
      </w:r>
      <w:r>
        <w:t>Section 3.3, page 4; Figure 3; Section 3.8, page 7.</w:t>
      </w:r>
    </w:p>
    <w:p>
      <w:r>
        <w:rPr>
          <w:b/>
        </w:rPr>
        <w:t>Comment 5. A public reproducibility repository should contain code, seeds, preprocessing, checkpoints, prediction files, and environment information.</w:t>
      </w:r>
    </w:p>
    <w:p>
      <w:r>
        <w:t>Partially addressed. The manuscript now provides substantially more implementation detail, including the pretrained ViT checkpoint, optimizer, learning rate, weight decay, batch size, augmentation rules, random seeds, checkpoint-selection criterion, selected epochs, and evaluation metrics. The revised manuscript also identifies the exact shuffled-sensor seed (4242), while seed 42 is used for the main experiments. A public repository link should be added before submission if the authors have finalized the repository. Raw data that cannot be redistributed can instead be represented through stable sample identifiers and reproducible processing scripts.</w:t>
      </w:r>
    </w:p>
    <w:p>
      <w:r>
        <w:rPr>
          <w:b/>
        </w:rPr>
        <w:t xml:space="preserve">Location: </w:t>
      </w:r>
      <w:r>
        <w:t>Section 3.8 and Table 2.</w:t>
      </w:r>
    </w:p>
    <w:p>
      <w:pPr>
        <w:pStyle w:val="Heading1"/>
      </w:pPr>
      <w:r>
        <w:t>Response to Reviewer 2</w:t>
      </w:r>
    </w:p>
    <w:p>
      <w:r>
        <w:t>We sincerely thank Reviewer 2 for identifying important methodological issues concerning data leakage, modality contribution, label harmonization, baseline comparison, reproducibility, environmental shortcuts, and external validity. The revised experiments directly address the principal experimental concerns.</w:t>
      </w:r>
    </w:p>
    <w:p>
      <w:r>
        <w:rPr>
          <w:b/>
        </w:rPr>
        <w:t>Comment 1. The original validation protocol allowed augmented variants of the same source to cross the train-validation boundary.</w:t>
      </w:r>
    </w:p>
    <w:p>
      <w:r>
        <w:t>Addressed through a complete experimental rerun. The 840 original paired observations are now split before any augmentation using source-group-separated stratified sampling. The resulting split contains 672 original training observations and 168 original validation observations. Sensor and visual augmentation are restricted to training only, and the validation set remains fixed and unaugmented. The revised results are therefore based on the leakage-controlled source-separated protocol.</w:t>
      </w:r>
    </w:p>
    <w:p>
      <w:r>
        <w:rPr>
          <w:b/>
        </w:rPr>
        <w:t xml:space="preserve">Location: </w:t>
      </w:r>
      <w:r>
        <w:t>Section 3.3, page 4; Figure 3; Section 4.1.</w:t>
      </w:r>
    </w:p>
    <w:p>
      <w:r>
        <w:rPr>
          <w:b/>
        </w:rPr>
        <w:t>Comment 2. The multimodal contribution was not experimentally demonstrated because ViT-only, sensor-only, and shuffled-sensor controls were missing.</w:t>
      </w:r>
    </w:p>
    <w:p>
      <w:r>
        <w:t>Addressed. Six configurations are now evaluated under the same source-separated validation protocol: Sensor-only MLP, EfficientNet-B0, ViT-Base, MaxViT-Tiny, ViT + Sensor, and ViT + Shuffled Sensor. The Sensor-only model achieves 71.43% accuracy, while ViT-Base, ViT + Sensor, and ViT + Shuffled Sensor all achieve 100.00%. The revised interpretation explicitly states that the study does not demonstrate an incremental accuracy benefit from multimodal fusion under the present validation conditions.</w:t>
      </w:r>
    </w:p>
    <w:p>
      <w:r>
        <w:rPr>
          <w:b/>
        </w:rPr>
        <w:t xml:space="preserve">Location: </w:t>
      </w:r>
      <w:r>
        <w:t>Section 3.6; Table 4; Sections 4.1–4.3.</w:t>
      </w:r>
    </w:p>
    <w:p>
      <w:r>
        <w:rPr>
          <w:b/>
        </w:rPr>
        <w:t>Comment 3. The four-class biological taxonomy should be canonicalized before model fitting rather than merging labels after training.</w:t>
      </w:r>
    </w:p>
    <w:p>
      <w:r>
        <w:t>Addressed. The labels “Bercak Daun” and “Bercak daun” are now harmonized to the canonical Leaf spot label before categorical encoding and model training. All models are trained directly on the intended four-class taxonomy, and the classification heads use four outputs. The results were recomputed using this corrected label protocol.</w:t>
      </w:r>
    </w:p>
    <w:p>
      <w:r>
        <w:rPr>
          <w:b/>
        </w:rPr>
        <w:t xml:space="preserve">Location: </w:t>
      </w:r>
      <w:r>
        <w:t>Section 3.2, page 4; Section 3.7–3.8.</w:t>
      </w:r>
    </w:p>
    <w:p>
      <w:r>
        <w:rPr>
          <w:b/>
        </w:rPr>
        <w:t>Comment 4. The literature comparison should not be presented as a direct head-to-head ranking, and contemporary baselines should be reproduced on the same dataset.</w:t>
      </w:r>
    </w:p>
    <w:p>
      <w:r>
        <w:t>Addressed with controlled reproduced baselines and a revised literature comparison. EfficientNet-B0, ViT-Base, and MaxViT-Tiny are now experimentally reproduced on the same source-separated dataset and under the common evaluation protocol. The previous cross-study numerical comparison has been reframed as contextual positioning in Table 7, explicitly noting differences in crops, datasets, acquisition conditions, and evaluation protocols. Thus, Table 4 contains reproduced experiments, whereas Table 7 contains contextual results reported in prior studies.</w:t>
      </w:r>
    </w:p>
    <w:p>
      <w:r>
        <w:rPr>
          <w:b/>
        </w:rPr>
        <w:t xml:space="preserve">Location: </w:t>
      </w:r>
      <w:r>
        <w:t>Table 4, Section 4.5, Table 7.</w:t>
      </w:r>
    </w:p>
    <w:p>
      <w:r>
        <w:rPr>
          <w:b/>
        </w:rPr>
        <w:t>Comment 5. Reproducibility of comparative claims was insufficient.</w:t>
      </w:r>
    </w:p>
    <w:p>
      <w:r>
        <w:t>Addressed substantially. The revised manuscript distinguishes experimentally reproduced configurations from published literature results and provides common training settings for the reproduced models. The protocol now specifies the optimizer, learning rate, weight decay, batch size, maximum epochs, augmentation, random seeds, pretrained ViT checkpoint, trainability of ViT parameters, absence of early stopping, checkpoint-selection criterion, selected epochs, and validation partition.</w:t>
      </w:r>
    </w:p>
    <w:p>
      <w:r>
        <w:rPr>
          <w:b/>
        </w:rPr>
        <w:t xml:space="preserve">Location: </w:t>
      </w:r>
      <w:r>
        <w:t>Section 3.8, Table 2, Table 3.</w:t>
      </w:r>
    </w:p>
    <w:p>
      <w:r>
        <w:rPr>
          <w:b/>
        </w:rPr>
        <w:t>Comment 6. The environmental modality may encode dataset-specific shortcuts; stronger sensor diagnostics and cross-site/time evaluation were recommended.</w:t>
      </w:r>
    </w:p>
    <w:p>
      <w:r>
        <w:t>Partially addressed and explicitly acknowledged as a limitation. The revised study includes a Sensor-only MLP and a shuffled-sensor control. The Sensor-only result of 71.43% demonstrates that the three environmental variables contain predictive information, while the identical 100% performance of paired and shuffled multimodal configurations shows that the present validation experiment does not establish a measurable benefit from preserving image-sensor correspondence. The manuscript now avoids causal or transferability claims and explicitly recommends more challenging or independently collected data, including different environmental regimes, acquisition periods, sensor devices, and field observations. A full cross-site/cross-time evaluation and additional mutual-information or classical sensor diagnostics are not available in the present dataset and are therefore identified as future work rather than claimed as completed experiments.</w:t>
      </w:r>
    </w:p>
    <w:p>
      <w:r>
        <w:rPr>
          <w:b/>
        </w:rPr>
        <w:t xml:space="preserve">Location: </w:t>
      </w:r>
      <w:r>
        <w:t>Sections 4.3 and 4.6; Conclusion.</w:t>
      </w:r>
    </w:p>
    <w:p>
      <w:r>
        <w:rPr>
          <w:b/>
        </w:rPr>
        <w:t>Comment 7. External validity is weaker than the numerical results suggest and independent external testing is needed.</w:t>
      </w:r>
    </w:p>
    <w:p>
      <w:r>
        <w:t>Addressed through revised interpretation and explicit limitation statements. The manuscript now states that the 100.00% result represents performance on the fixed source-separated validation set rather than broad field generalization. The validation set contains 168 observations associated with 46 unique image sources. The manuscript explicitly calls for independent validation across plantations, seasons, cameras, sensor devices, and environmental conditions before operational deployment.</w:t>
      </w:r>
    </w:p>
    <w:p>
      <w:r>
        <w:rPr>
          <w:b/>
        </w:rPr>
        <w:t xml:space="preserve">Location: </w:t>
      </w:r>
      <w:r>
        <w:t>Section 4.4, Section 4.6, and Section 5.</w:t>
      </w:r>
    </w:p>
    <w:p>
      <w:pPr>
        <w:pStyle w:val="Heading1"/>
      </w:pPr>
      <w:r>
        <w:t>Additional Final Checks Before Submission</w:t>
      </w:r>
    </w:p>
    <w:p>
      <w:r>
        <w:rPr>
          <w:b/>
        </w:rPr>
        <w:t xml:space="preserve">Abstract wording: </w:t>
      </w:r>
      <w:r>
        <w:t>The abstract is within the requested 150-word limit. For grammatical precision, retain the formulation: “100.00% validation accuracy, 100.00% macro F1-score, 100.00% balanced accuracy, Cohen’s kappa of 1.0000, and MCC of 1.0000.”</w:t>
      </w:r>
    </w:p>
    <w:p>
      <w:r>
        <w:rPr>
          <w:b/>
        </w:rPr>
        <w:t xml:space="preserve">Thousands separator: </w:t>
      </w:r>
      <w:r>
        <w:t>Change “2.016 effective training entries” to “2,016 effective training entries” in the paragraph below Figure 3 so it is consistent with Table 2 and the rest of the manuscript.</w:t>
      </w:r>
    </w:p>
    <w:p>
      <w:r>
        <w:rPr>
          <w:b/>
        </w:rPr>
        <w:t xml:space="preserve">Seed wording: </w:t>
      </w:r>
      <w:r>
        <w:t>Prefer: “A fixed random seed of 42 was used for the main experiments, while a separate seed of 4242 was used to generate the shuffled-sensor permutation.” This makes clear that 4242 is specifically the permutation seed.</w:t>
      </w:r>
    </w:p>
    <w:p>
      <w:r>
        <w:rPr>
          <w:b/>
        </w:rPr>
        <w:t xml:space="preserve">Red highlighting: </w:t>
      </w:r>
      <w:r>
        <w:t>Before submission, highlight all substantive revisions/additions in red, as explicitly requested by the Editor.</w:t>
      </w:r>
    </w:p>
    <w:p>
      <w:r>
        <w:rPr>
          <w:b/>
        </w:rPr>
        <w:t xml:space="preserve">Repository link: </w:t>
      </w:r>
      <w:r>
        <w:t>If a public implementation repository is available, replace the repository placeholder in the response/manuscript with the actual GitHub URL. Do not submit an invented or inactive URL.</w:t>
      </w:r>
    </w:p>
    <w:p>
      <w:r>
        <w:rPr>
          <w:b/>
        </w:rPr>
        <w:t xml:space="preserve">Formatting: </w:t>
      </w:r>
      <w:r>
        <w:t>Perform one final visual check for IJIES requirements: 11-pt body text, 10-pt tables, figure placement, no side-by-side figures in one column, readable figure/table text, equation formatting, and reference style.</w:t>
      </w:r>
    </w:p>
    <w:p>
      <w:pPr>
        <w:pStyle w:val="Heading1"/>
      </w:pPr>
      <w:r>
        <w:t>Closing Statement</w:t>
      </w:r>
    </w:p>
    <w:p>
      <w:r>
        <w:t>We believe that the revised manuscript addresses the major methodological concerns raised by the reviewers, particularly the original data-leakage issue, the absence of controlled modality comparisons, the inconsistent label taxonomy, and the ambiguity between reproduced experiments and published literature results. The revised manuscript also adopts a more conservative interpretation of the 100.00% validation performance and clearly distinguishes in-domain validation from external field generalization. We respectfully hope that the revisions and detailed responses are satisfactory and that the manuscript can now be considered for publication in the International Journal of Intelligent Engineering and Systems.</w:t>
      </w:r>
    </w:p>
    <w:p>
      <w:r>
        <w:rPr>
          <w:b/>
        </w:rPr>
        <w:t>Sincerely,</w:t>
      </w:r>
    </w:p>
    <w:p>
      <w:r>
        <w:t>The Authors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Response to Reviewers | IJIES | Paper ID 20265339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