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0E0F13"/>
          <w:sz w:val="36"/>
          <w:szCs w:val="36"/>
        </w:rPr>
        <w:t>Plataforma round.noofit.com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5C6066"/>
          <w:sz w:val="18"/>
          <w:szCs w:val="18"/>
        </w:rPr>
        <w:t>Arquitectura técnica, integraciones y algoritmos · Replicable a cualquier manager NoofitPro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Mapa visual del ecosistema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>La siguiente infografía muestra los 4 niveles del sistema (canales de entrada → orquestación → backends de datos → salidas) y cómo se conectan. Verde indica componentes propios de Round; cada caja con color distinto representa un proveedor externo.</w:t>
      </w:r>
    </w:p>
    <w:p>
      <w:pPr>
        <w:pStyle w:val="Normal"/>
        <w:spacing w:before="80" w:after="120"/>
        <w:jc w:val="center"/>
        <w:rPr/>
      </w:pPr>
      <w:r>
        <w:rPr/>
        <w:drawing>
          <wp:inline distT="0" distB="0" distL="0" distR="0">
            <wp:extent cx="6576695" cy="4123055"/>
            <wp:effectExtent l="0" t="0" r="0" b="0"/>
            <wp:docPr id="1" name="arquitectura" descr="Diagrama de capas: canales WordPress, Instagram, Dashboard y apps; orquestación Round Config API y Cron; datos PostgreSQL, NoofitPro, Odoo, Resend, PayComet; salidas cliente, plaza, email, SEPA, cobro y analítica." title="Arquitectura 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" descr="Diagrama de capas: canales WordPress, Instagram, Dashboard y apps; orquestación Round Config API y Cron; datos PostgreSQL, NoofitPro, Odoo, Resend, PayComet; salidas cliente, plaza, email, SEPA, cobro y analítica." title="Arquitectura 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412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1. Visión general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 xml:space="preserve">La plataforma </w:t>
      </w:r>
      <w:r>
        <w:rPr>
          <w:rFonts w:eastAsia="Arial" w:cs="Arial"/>
          <w:b/>
          <w:bCs/>
          <w:sz w:val="18"/>
          <w:szCs w:val="18"/>
        </w:rPr>
        <w:t>round.noofit.com</w:t>
      </w:r>
      <w:r>
        <w:rPr>
          <w:rFonts w:eastAsia="Arial" w:cs="Arial"/>
          <w:sz w:val="18"/>
          <w:szCs w:val="18"/>
        </w:rPr>
        <w:t xml:space="preserve"> es una capa de gestión integral construida sobre el SaaS </w:t>
      </w:r>
      <w:r>
        <w:rPr>
          <w:rFonts w:eastAsia="Arial" w:cs="Arial"/>
          <w:b/>
          <w:bCs/>
          <w:sz w:val="18"/>
          <w:szCs w:val="18"/>
        </w:rPr>
        <w:t>NoofitPro</w:t>
      </w:r>
      <w:r>
        <w:rPr>
          <w:rFonts w:eastAsia="Arial" w:cs="Arial"/>
          <w:sz w:val="18"/>
          <w:szCs w:val="18"/>
        </w:rPr>
        <w:t xml:space="preserve"> (gimnasios). Extiende la funcionalidad nativa con un CRM completo, facturación automatizada en Odoo, comunicaciones transaccionales, pasarela de pago, scoring de leads, reserva inteligente de pruebas y analítica de embudo. El diseño es </w:t>
      </w:r>
      <w:r>
        <w:rPr>
          <w:rFonts w:eastAsia="Arial" w:cs="Arial"/>
          <w:b/>
          <w:bCs/>
          <w:sz w:val="18"/>
          <w:szCs w:val="18"/>
        </w:rPr>
        <w:t xml:space="preserve">multi-tenant por manager: </w:t>
      </w:r>
      <w:r>
        <w:rPr>
          <w:rFonts w:eastAsia="Arial" w:cs="Arial"/>
          <w:sz w:val="18"/>
          <w:szCs w:val="18"/>
        </w:rPr>
        <w:t>cualquier centro NoofitPro puede adoptar el sistema sin tocar código (configuración por UI).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2. Componentes del ecosistema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Frontend dashboard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React 18 + Vite, lazy-loading por ruta. SPA servida en round.noofit.com / round.wiemspro.com. Sesión basada en JWT (X-CustomToken) emitido por NoofitPro. Soporta impersonación trainer↔manager.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Backend Round Config API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Flask + Gunicorn (Python 3.12) en VPS dedicado (212.227.40.122:8095). Capa de orquestación entre NoofitPro, Odoo, PostgreSQL y servicios externos. Auth por tokens internos (X-Round-Token + X-Round-Manager-Id).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Base de datos local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PostgreSQL 16 (round_config). 14 tablas que extienden el modelo NoofitPro: catálogos de cuotas/descuentos/modificaciones, asignaciones cliente, plantillas email, configuración pasarelas, reservas slot, leads CRM. Schema idempotente con migraciones automáticas al boot.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NoofitPro (proveedor)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SaaS de gestión de gimnasios (pro.wiemspro.com). Mantiene clientes, clases, asistencia, sensores. Consumo vía REST con MD5 de password en login y JWT con TTL ~60 min.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Odoo 17 Community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BD round_facturacion. Módulos: account, crm, base. CRM con pipeline configurado (Nuevo → Contactado → Visita → Prueba → Alta · Perdido). Catálogos custom (round.cuota.catalogo, round.descuento.catalogo, round.modificacion.recibo). Generación SEPA para domiciliaciones.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WordPress + Ninja Forms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roundtrainingcenter.com. Formulario público de prueba gratuita. Snippets PHP y JS gestionados con WPCode. Wordfence allowlist para POST salientes a la API.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Email transaccional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Pluggable: Resend / Postmark / SMTP propio. Configurable por manager desde UI (credenciales + remitente). Sistema de plantillas con variables {{var}} y disparadores por evento.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Pasarela de pago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PayComet REST v2, credenciales por trainer (token + terminal + sandbox/producción). Webhook de notificación cableado.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GestPlus (legado)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Sistema fuente para migración histórica de socios y movimientos. Importación batch.</w:t>
            </w:r>
          </w:p>
        </w:tc>
      </w:tr>
      <w:tr>
        <w:trPr/>
        <w:tc>
          <w:tcPr>
            <w:tcW w:w="21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8F5F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0F13"/>
                <w:sz w:val="16"/>
                <w:szCs w:val="16"/>
              </w:rPr>
              <w:t>Instagram Lead Ads</w:t>
            </w:r>
          </w:p>
        </w:tc>
        <w:tc>
          <w:tcPr>
            <w:tcW w:w="716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6"/>
                <w:szCs w:val="16"/>
              </w:rPr>
              <w:t>Webhook Meta (en hoja de ruta). Reusa el pipeline /api/crm/lead.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3. Flujos críticos end-to-end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3.1 Captación de lead → reserva de prueba → alta</w:t>
      </w:r>
    </w:p>
    <w:p>
      <w:pPr>
        <w:pStyle w:val="ListParagraph"/>
        <w:numPr>
          <w:ilvl w:val="0"/>
          <w:numId w:val="3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Lead rellena formulario WP (nombre, email, teléfono, centro, DNI, slot elegido).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Backend valida DNI/NIE/Pasaporte (algoritmo letra de control).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Anti-duplicado: si DNI o email existen como cliente NoofitPro, se reutiliza; si no, se crea.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Cliente apuntado a la sala (clase) elegida con tag pre-confirmación.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Lead creado en Odoo CRM stage Nuevo, asignación guardada en round_config.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Email transaccional vía Resend con CTA Confirmar / Cambiar día-hora (token único, TTL 1h).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Cron systemd cada 5 min libera reservas no confirmadas, manteniendo el cliente NoofitPro para follow-up.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Tras la prueba, si hay alta: el cliente ya existe, su asistencia queda en histórico.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3.2 Sincronización catálogos → Odoo → SEPA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Manager define cuotas/descuentos/modificaciones en UI Round.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Trainers adoptan plantillas o crean variantes.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Backend sincroniza catálogos a Odoo (cron diario).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Cobros generan recibos en Odoo, se exportan a SEPA XML para banco.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4. Algoritmos y heurísticas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4.1 Lead scoring (0-100)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 xml:space="preserve">Cada lead recibe un score que prioriza la atención del trainer. Se calcula on-the-fly al listar leads. </w:t>
      </w:r>
      <w:r>
        <w:rPr>
          <w:rFonts w:eastAsia="Arial" w:cs="Arial"/>
          <w:b/>
          <w:bCs/>
          <w:sz w:val="18"/>
          <w:szCs w:val="18"/>
        </w:rPr>
        <w:t>Verde ≥70 (alta probabilidad), Amarillo 40-69 (seguimiento normal), Rojo &lt;40 (baja prioridad).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Base 30 puntos. Suma: +15 por email Y teléfono. +15 por cuota de interés. +10 por mensaje libre &gt;20 chars.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+10 si trae datos de qualification ricos (objetivo, presupuesto). +10 si UTM proviene de campaña pagada (Instagram, Google Ads).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+0 a +25 según etapa del pipeline (Nuevo→Alta). +5 si rango de edad óptimo (25-45).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Penalización: -15 si lleva &gt;24h en Nuevo sin contactar. -25 si &gt;7 días. Score=0 si lead marcado perdido.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4.2 Selección de slot de prueba (afluencia ponderada)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>Para sugerir al lead los huecos menos concurridos, se calcula la ocupación histórica de cada patrón de clase (mismo nombre + mismo trainer) en dos ventanas: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4 semanas (peso 0.6) → reactivo a tendencias recientes.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12 semanas (peso 0.4) → estabilidad estructural.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Score final = 0.6 × ocupación_4w + 0.4 × ocupación_12w.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Filtros: excluye lunes/martes (alta demanda), antelación mínima 24 h, aforo libre ≥1, próximos 14 días.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Salida: top 12 slots más vacíos, agrupados por día, etiquetados (tranquila / normal / concurrida / casi llena).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4.3 Análisis de embudo CRM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Distribución por etapa, tasa de conversión global, tiempo medio entre etapas, tiempo medio de primer contacto.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Motivos de pérdida agregados (precio, ubicación, no responde, horario, competencia, no listo, duplicado, spam).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Histórico inmutable de transiciones por lead (stage_history JSONB) para auditoría.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0E0F13"/>
          <w:sz w:val="22"/>
          <w:szCs w:val="22"/>
        </w:rPr>
        <w:t>4.4 Round-robin de asignación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>Si el lead no especifica centro, se asigna al trainer activo con menos leads recientes. Garantiza reparto equitativo y evita acumulación en un solo centro.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5. Patrones de diseño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Multi-tenant por manager_id, todas las tablas locales lo llevan como discriminador.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Catálogo plantilla → adopción trainer (FK plantilla_origen_id), permite herencia con override.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Token + expiry para acciones públicas (reserva confirmación, cambio de slot, futuro: reset password).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Cache TTL para JWT NoofitPro (50 min, refresh automático en 401).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Migraciones idempotentes con CREATE TABLE IF NOT EXISTS y bloques DO $$ para ALTER COLUMN condicional.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Triggers updated_at automáticos en todas las tablas mutables.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Soft-state CRM: el lead avanza por etapas; la pérdida se modela como etapa fold (no eliminación).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Eventos → plantillas (event-driven email): cualquier transición CRM puede disparar comunicación configurable.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6. Seguridad y cumplimiento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Auth interna: tokens en headers (X-Round-Token), nunca en URL. Manager-id y trainer-id separados; impersonación auditada.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Endpoints públicos protegidos con: rate limit por IP (8 req/5 min), honeypot anti-spam (campo oculto), validación estricta de entrada.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Validación DNI/NIE algorítmica con letra de control; pasaporte por regex. Justificado al lead por necesidades del seguro de instalación.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Secretos de proveedores (Resend, PayComet, SMTP) cifrados y nunca devueltos al frontend (solo preview tipo "abc…xyz").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CORS allowlist explícita: round.wiemspro.com, round.noofit.com, roundtrainingcenter.com, www.roundtrainingcenter.com.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Logging estructurado en journald, con métricas de envío email, llamadas a NoofitPro y triggers de eventos.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Persistencia de stage_history y raw_payload de formularios → trazabilidad GDPR completa.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7. Hoja de ruta inmediata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Webhook Instagram Lead Ads (Meta Business) → mismo pipeline /api/crm/lead.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Cron de recordatorio 24h antes de la prueba (reduce no-shows).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Dashboard manager con KPIs de captación: coste por lead, ROI por canal UTM, conversión por trainer.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Verificación dominio Resend para roundtrainingcenter.com (mejora deliverability ~30%).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Migración completa de socios desde GestPlus a NoofitPro + Odoo (en curso).</w:t>
      </w:r>
    </w:p>
    <w:p>
      <w:pPr>
        <w:pStyle w:val="ListParagraph"/>
        <w:numPr>
          <w:ilvl w:val="0"/>
          <w:numId w:val="1"/>
        </w:numPr>
        <w:spacing w:lineRule="auto" w:line="262" w:before="0" w:after="40"/>
        <w:rPr/>
      </w:pPr>
      <w:r>
        <w:rPr>
          <w:rFonts w:eastAsia="Arial" w:cs="Arial"/>
          <w:sz w:val="17"/>
          <w:szCs w:val="17"/>
        </w:rPr>
        <w:t>Modelo predictivo de abandono: probabilidad de baja del cliente en 30 días (entrenado sobre asistencia + engagement app).</w:t>
      </w:r>
    </w:p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A9A7A"/>
          <w:sz w:val="28"/>
          <w:szCs w:val="28"/>
        </w:rPr>
        <w:t>8. Replicabilidad a otros managers</w:t>
      </w:r>
    </w:p>
    <w:p>
      <w:pPr>
        <w:pStyle w:val="Normal"/>
        <w:spacing w:lineRule="auto" w:line="281" w:before="0" w:after="80"/>
        <w:rPr/>
      </w:pPr>
      <w:r>
        <w:rPr>
          <w:rFonts w:eastAsia="Arial" w:cs="Arial"/>
          <w:sz w:val="18"/>
          <w:szCs w:val="18"/>
        </w:rPr>
        <w:t xml:space="preserve">Toda la configuración —centros, plantillas email, pasarelas, credenciales NoofitPro— vive en BD local segmentada por </w:t>
      </w:r>
      <w:r>
        <w:rPr>
          <w:rFonts w:eastAsia="Arial" w:cs="Arial"/>
          <w:b/>
          <w:bCs/>
          <w:sz w:val="18"/>
          <w:szCs w:val="18"/>
        </w:rPr>
        <w:t>id_manager</w:t>
      </w:r>
      <w:r>
        <w:rPr>
          <w:rFonts w:eastAsia="Arial" w:cs="Arial"/>
          <w:sz w:val="18"/>
          <w:szCs w:val="18"/>
        </w:rPr>
        <w:t xml:space="preserve">. Onboarding de un nuevo manager NoofitPro a la plataforma Round requiere únicamente: (1) crear su tenant en NoofitPro y obtener credenciales, (2) registrar centros desde la UI, (3) configurar proveedor email y pasarela de pago, (4) sembrar plantillas por defecto. </w:t>
      </w:r>
      <w:r>
        <w:rPr>
          <w:rFonts w:eastAsia="Arial" w:cs="Arial"/>
          <w:b/>
          <w:bCs/>
          <w:sz w:val="18"/>
          <w:szCs w:val="18"/>
        </w:rPr>
        <w:t>No hay código específico de Round; el ecosistema completo se replica para cualquier cadena de gimnasios sobre NoofitPro en menos de un día.</w:t>
      </w:r>
    </w:p>
    <w:p>
      <w:pPr>
        <w:pStyle w:val="Normal"/>
        <w:spacing w:before="200" w:after="0"/>
        <w:rPr/>
      </w:pPr>
      <w:r>
        <w:rPr>
          <w:rFonts w:eastAsia="Arial" w:cs="Arial"/>
          <w:i/>
          <w:iCs/>
          <w:color w:val="5C6066"/>
          <w:sz w:val="14"/>
          <w:szCs w:val="14"/>
        </w:rPr>
        <w:t>Documento generado para comité de expertos · 2026-05-03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C6066"/>
        <w:sz w:val="14"/>
        <w:szCs w:val="14"/>
      </w:rPr>
      <w:t xml:space="preserve">Página </w:t>
    </w:r>
    <w:r>
      <w:rPr>
        <w:rFonts w:eastAsia="Arial" w:cs="Arial"/>
        <w:i/>
        <w:iCs/>
        <w:color w:val="5C6066"/>
        <w:sz w:val="14"/>
        <w:szCs w:val="14"/>
      </w:rPr>
      <w:fldChar w:fldCharType="begin"/>
    </w:r>
    <w:r>
      <w:rPr>
        <w:rFonts w:eastAsia="Arial" w:cs="Arial"/>
        <w:i/>
        <w:iCs/>
        <w:color w:val="5C6066"/>
        <w:sz w:val="14"/>
        <w:szCs w:val="14"/>
      </w:rPr>
      <w:instrText xml:space="preserve"> PAGE </w:instrText>
    </w:r>
    <w:r>
      <w:rPr>
        <w:rFonts w:eastAsia="Arial" w:cs="Arial"/>
        <w:i/>
        <w:iCs/>
        <w:color w:val="5C6066"/>
        <w:sz w:val="14"/>
        <w:szCs w:val="14"/>
      </w:rPr>
      <w:fldChar w:fldCharType="separate"/>
    </w:r>
    <w:r>
      <w:rPr>
        <w:rFonts w:eastAsia="Arial" w:cs="Arial"/>
        <w:i/>
        <w:iCs/>
        <w:color w:val="5C6066"/>
        <w:sz w:val="14"/>
        <w:szCs w:val="14"/>
      </w:rPr>
      <w:t>4</w:t>
    </w:r>
    <w:r>
      <w:rPr>
        <w:rFonts w:eastAsia="Arial" w:cs="Arial"/>
        <w:i/>
        <w:iCs/>
        <w:color w:val="5C6066"/>
        <w:sz w:val="14"/>
        <w:szCs w:val="14"/>
      </w:rPr>
      <w:fldChar w:fldCharType="end"/>
    </w:r>
    <w:r>
      <w:rPr>
        <w:rFonts w:eastAsia="Arial" w:cs="Arial"/>
        <w:color w:val="5C6066"/>
        <w:sz w:val="14"/>
        <w:szCs w:val="14"/>
      </w:rPr>
      <w:t xml:space="preserve"> de </w:t>
    </w:r>
    <w:r>
      <w:rPr>
        <w:rFonts w:eastAsia="Arial" w:cs="Arial"/>
        <w:i/>
        <w:iCs/>
        <w:color w:val="5C6066"/>
        <w:sz w:val="14"/>
        <w:szCs w:val="14"/>
      </w:rPr>
      <w:fldChar w:fldCharType="begin"/>
    </w:r>
    <w:r>
      <w:rPr>
        <w:rFonts w:eastAsia="Arial" w:cs="Arial"/>
        <w:i/>
        <w:iCs/>
        <w:color w:val="5C6066"/>
        <w:sz w:val="14"/>
        <w:szCs w:val="14"/>
      </w:rPr>
      <w:instrText xml:space="preserve"> NUMPAGES </w:instrText>
    </w:r>
    <w:r>
      <w:rPr>
        <w:rFonts w:eastAsia="Arial" w:cs="Arial"/>
        <w:i/>
        <w:iCs/>
        <w:color w:val="5C6066"/>
        <w:sz w:val="14"/>
        <w:szCs w:val="14"/>
      </w:rPr>
      <w:fldChar w:fldCharType="separate"/>
    </w:r>
    <w:r>
      <w:rPr>
        <w:rFonts w:eastAsia="Arial" w:cs="Arial"/>
        <w:i/>
        <w:iCs/>
        <w:color w:val="5C6066"/>
        <w:sz w:val="14"/>
        <w:szCs w:val="14"/>
      </w:rPr>
      <w:t>4</w:t>
    </w:r>
    <w:r>
      <w:rPr>
        <w:rFonts w:eastAsia="Arial" w:cs="Arial"/>
        <w:i/>
        <w:iCs/>
        <w:color w:val="5C6066"/>
        <w:sz w:val="14"/>
        <w:szCs w:val="1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C6066"/>
        <w:sz w:val="14"/>
        <w:szCs w:val="14"/>
      </w:rPr>
      <w:t xml:space="preserve">Página </w:t>
    </w:r>
    <w:r>
      <w:rPr>
        <w:rFonts w:eastAsia="Arial" w:cs="Arial"/>
        <w:i/>
        <w:iCs/>
        <w:color w:val="5C6066"/>
        <w:sz w:val="14"/>
        <w:szCs w:val="14"/>
      </w:rPr>
      <w:fldChar w:fldCharType="begin"/>
    </w:r>
    <w:r>
      <w:rPr>
        <w:rFonts w:eastAsia="Arial" w:cs="Arial"/>
        <w:i/>
        <w:iCs/>
        <w:color w:val="5C6066"/>
        <w:sz w:val="14"/>
        <w:szCs w:val="14"/>
      </w:rPr>
      <w:instrText xml:space="preserve"> PAGE </w:instrText>
    </w:r>
    <w:r>
      <w:rPr>
        <w:rFonts w:eastAsia="Arial" w:cs="Arial"/>
        <w:i/>
        <w:iCs/>
        <w:color w:val="5C6066"/>
        <w:sz w:val="14"/>
        <w:szCs w:val="14"/>
      </w:rPr>
      <w:fldChar w:fldCharType="separate"/>
    </w:r>
    <w:r>
      <w:rPr>
        <w:rFonts w:eastAsia="Arial" w:cs="Arial"/>
        <w:i/>
        <w:iCs/>
        <w:color w:val="5C6066"/>
        <w:sz w:val="14"/>
        <w:szCs w:val="14"/>
      </w:rPr>
      <w:t>4</w:t>
    </w:r>
    <w:r>
      <w:rPr>
        <w:rFonts w:eastAsia="Arial" w:cs="Arial"/>
        <w:i/>
        <w:iCs/>
        <w:color w:val="5C6066"/>
        <w:sz w:val="14"/>
        <w:szCs w:val="14"/>
      </w:rPr>
      <w:fldChar w:fldCharType="end"/>
    </w:r>
    <w:r>
      <w:rPr>
        <w:rFonts w:eastAsia="Arial" w:cs="Arial"/>
        <w:color w:val="5C6066"/>
        <w:sz w:val="14"/>
        <w:szCs w:val="14"/>
      </w:rPr>
      <w:t xml:space="preserve"> de </w:t>
    </w:r>
    <w:r>
      <w:rPr>
        <w:rFonts w:eastAsia="Arial" w:cs="Arial"/>
        <w:i/>
        <w:iCs/>
        <w:color w:val="5C6066"/>
        <w:sz w:val="14"/>
        <w:szCs w:val="14"/>
      </w:rPr>
      <w:fldChar w:fldCharType="begin"/>
    </w:r>
    <w:r>
      <w:rPr>
        <w:rFonts w:eastAsia="Arial" w:cs="Arial"/>
        <w:i/>
        <w:iCs/>
        <w:color w:val="5C6066"/>
        <w:sz w:val="14"/>
        <w:szCs w:val="14"/>
      </w:rPr>
      <w:instrText xml:space="preserve"> NUMPAGES </w:instrText>
    </w:r>
    <w:r>
      <w:rPr>
        <w:rFonts w:eastAsia="Arial" w:cs="Arial"/>
        <w:i/>
        <w:iCs/>
        <w:color w:val="5C6066"/>
        <w:sz w:val="14"/>
        <w:szCs w:val="14"/>
      </w:rPr>
      <w:fldChar w:fldCharType="separate"/>
    </w:r>
    <w:r>
      <w:rPr>
        <w:rFonts w:eastAsia="Arial" w:cs="Arial"/>
        <w:i/>
        <w:iCs/>
        <w:color w:val="5C6066"/>
        <w:sz w:val="14"/>
        <w:szCs w:val="14"/>
      </w:rPr>
      <w:t>4</w:t>
    </w:r>
    <w:r>
      <w:rPr>
        <w:rFonts w:eastAsia="Arial" w:cs="Arial"/>
        <w:i/>
        <w:iCs/>
        <w:color w:val="5C6066"/>
        <w:sz w:val="14"/>
        <w:szCs w:val="1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A9A7A"/>
        <w:sz w:val="16"/>
        <w:szCs w:val="16"/>
      </w:rPr>
      <w:t>Round Training Center</w:t>
    </w:r>
    <w:r>
      <w:rPr>
        <w:rFonts w:eastAsia="Arial" w:cs="Arial"/>
        <w:color w:val="5C6066"/>
        <w:sz w:val="14"/>
        <w:szCs w:val="14"/>
      </w:rPr>
      <w:tab/>
      <w:t>Arquitectura técnica · v1.1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A9A7A"/>
        <w:sz w:val="16"/>
        <w:szCs w:val="16"/>
      </w:rPr>
      <w:t>Round Training Center</w:t>
    </w:r>
    <w:r>
      <w:rPr>
        <w:rFonts w:eastAsia="Arial" w:cs="Arial"/>
        <w:color w:val="5C6066"/>
        <w:sz w:val="14"/>
        <w:szCs w:val="14"/>
      </w:rPr>
      <w:tab/>
      <w:t>Arquitectura técnica · v1.1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720" w:hanging="22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8"/>
        <w:szCs w:val="18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s-ES" w:eastAsia="zh-CN" w:bidi="hi-IN"/>
    </w:rPr>
  </w:style>
  <w:style w:type="paragraph" w:styleId="Heading1">
    <w:name w:val="heading 1"/>
    <w:basedOn w:val="Ttulo"/>
    <w:qFormat/>
    <w:pPr>
      <w:spacing w:before="240" w:after="120"/>
      <w:outlineLvl w:val="0"/>
    </w:pPr>
    <w:rPr>
      <w:rFonts w:ascii="Arial" w:hAnsi="Arial" w:eastAsia="Arial" w:cs="Arial"/>
      <w:b/>
      <w:bCs/>
      <w:color w:val="1A9A7A"/>
      <w:sz w:val="28"/>
      <w:szCs w:val="28"/>
    </w:rPr>
  </w:style>
  <w:style w:type="paragraph" w:styleId="Heading2">
    <w:name w:val="heading 2"/>
    <w:basedOn w:val="Ttulo"/>
    <w:qFormat/>
    <w:pPr>
      <w:spacing w:before="180" w:after="80"/>
      <w:outlineLvl w:val="1"/>
    </w:pPr>
    <w:rPr>
      <w:rFonts w:ascii="Arial" w:hAnsi="Arial" w:eastAsia="Arial" w:cs="Arial"/>
      <w:b/>
      <w:bCs/>
      <w:color w:val="0E0F13"/>
      <w:sz w:val="22"/>
      <w:szCs w:val="22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8"/>
      <w:szCs w:val="18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859</TotalTime>
  <Application>LibreOffice/25.8.5.2$Windows_X86_64 LibreOffice_project/9c8b85f387cc00a89945a79c9e6239f32e450ac2</Application>
  <AppVersion>15.0000</AppVersion>
  <Pages>4</Pages>
  <Words>1235</Words>
  <Characters>7286</Characters>
  <CharactersWithSpaces>8385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2026-05-03T15:25:13Z</dcterms:created>
  <dc:creator>Round Training Center</dc:creator>
  <dc:description/>
  <dc:language>es-ES</dc:language>
  <cp:lastModifiedBy/>
  <dcterms:modified xsi:type="dcterms:W3CDTF">2026-05-04T07:56:33Z</dcterms:modified>
  <cp:revision>2</cp:revision>
  <dc:subject/>
  <dc:title>Arquitectura técnica — round.noofit.com</dc:title>
</cp:coreProperties>
</file>